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55DEB" w14:textId="77777777" w:rsidR="00086B58" w:rsidRDefault="00086B58" w:rsidP="00E31CA3">
      <w:pPr>
        <w:pStyle w:val="Subtitle"/>
      </w:pPr>
    </w:p>
    <w:p w14:paraId="32267EAB" w14:textId="1247AEF8" w:rsidR="00086B58" w:rsidRPr="00086B58" w:rsidRDefault="00086B58" w:rsidP="00086B58">
      <w:pPr>
        <w:pStyle w:val="Subtitle"/>
        <w:jc w:val="center"/>
        <w:rPr>
          <w:b/>
          <w:bCs/>
          <w:sz w:val="36"/>
          <w:szCs w:val="36"/>
        </w:rPr>
      </w:pPr>
      <w:r w:rsidRPr="00086B58">
        <w:rPr>
          <w:b/>
          <w:bCs/>
          <w:sz w:val="36"/>
          <w:szCs w:val="36"/>
        </w:rPr>
        <w:t xml:space="preserve">Family Engagement </w:t>
      </w:r>
      <w:r w:rsidR="00E31CA3" w:rsidRPr="00086B58">
        <w:rPr>
          <w:b/>
          <w:bCs/>
          <w:sz w:val="36"/>
          <w:szCs w:val="36"/>
        </w:rPr>
        <w:t>Needs Assessment</w:t>
      </w:r>
    </w:p>
    <w:p w14:paraId="614057BA" w14:textId="16569A52" w:rsidR="00E31CA3" w:rsidRPr="00086B58" w:rsidRDefault="00086B58" w:rsidP="00086B58">
      <w:pPr>
        <w:pStyle w:val="Subtitle"/>
        <w:numPr>
          <w:ilvl w:val="0"/>
          <w:numId w:val="0"/>
        </w:numPr>
        <w:jc w:val="center"/>
        <w:rPr>
          <w:b/>
          <w:bCs/>
          <w:sz w:val="28"/>
          <w:szCs w:val="28"/>
        </w:rPr>
      </w:pPr>
      <w:r w:rsidRPr="00086B58">
        <w:rPr>
          <w:b/>
          <w:bCs/>
          <w:sz w:val="28"/>
          <w:szCs w:val="28"/>
        </w:rPr>
        <w:t>-</w:t>
      </w:r>
      <w:r>
        <w:rPr>
          <w:b/>
          <w:bCs/>
          <w:sz w:val="28"/>
          <w:szCs w:val="28"/>
        </w:rPr>
        <w:t xml:space="preserve"> F</w:t>
      </w:r>
      <w:r w:rsidR="00E31CA3" w:rsidRPr="00086B58">
        <w:rPr>
          <w:b/>
          <w:bCs/>
          <w:sz w:val="28"/>
          <w:szCs w:val="28"/>
        </w:rPr>
        <w:t>or Building Leadership Teams</w:t>
      </w:r>
      <w:r>
        <w:rPr>
          <w:b/>
          <w:bCs/>
          <w:sz w:val="28"/>
          <w:szCs w:val="28"/>
        </w:rPr>
        <w:t xml:space="preserve"> -</w:t>
      </w:r>
    </w:p>
    <w:p w14:paraId="18255822" w14:textId="40581C6A" w:rsidR="00D323E3" w:rsidRPr="00640DBD" w:rsidRDefault="00D323E3" w:rsidP="00D323E3">
      <w:pPr>
        <w:pStyle w:val="Heading2"/>
        <w:rPr>
          <w:color w:val="auto"/>
        </w:rPr>
      </w:pPr>
      <w:r w:rsidRPr="00640DBD">
        <w:rPr>
          <w:color w:val="auto"/>
        </w:rPr>
        <w:t>Overview</w:t>
      </w:r>
    </w:p>
    <w:p w14:paraId="1290AC2F" w14:textId="77777777" w:rsidR="00086B58" w:rsidRDefault="00086B58" w:rsidP="00D323E3"/>
    <w:p w14:paraId="6B2824E2" w14:textId="534DCE13" w:rsidR="00002EDD" w:rsidRDefault="00041F05" w:rsidP="00D323E3">
      <w:r>
        <w:t xml:space="preserve">This </w:t>
      </w:r>
      <w:r w:rsidR="000E2326">
        <w:t xml:space="preserve">needs assessment </w:t>
      </w:r>
      <w:r>
        <w:t>tool is designed to assist school leaders and leadership teams</w:t>
      </w:r>
      <w:r w:rsidR="000E2326">
        <w:t xml:space="preserve"> in measuring the quality of their current family engagement practices. Each item is an example of a high impact family engagement practice. This tool will help your team identify family engagement action steps to include in your school’s </w:t>
      </w:r>
      <w:r w:rsidR="009217F3">
        <w:t xml:space="preserve">improvement </w:t>
      </w:r>
      <w:r w:rsidR="000E2326">
        <w:t>plan.</w:t>
      </w:r>
      <w:r w:rsidR="002D1F27">
        <w:t>*</w:t>
      </w:r>
      <w:r w:rsidR="003F17CF">
        <w:t xml:space="preserve"> </w:t>
      </w:r>
    </w:p>
    <w:p w14:paraId="48D57339" w14:textId="65B19207" w:rsidR="00086B58" w:rsidRDefault="00086B58" w:rsidP="00D323E3">
      <w:r>
        <w:t>The</w:t>
      </w:r>
      <w:r w:rsidR="000E2326">
        <w:t xml:space="preserve"> tool covers </w:t>
      </w:r>
      <w:r>
        <w:t>three areas: Communication</w:t>
      </w:r>
      <w:r w:rsidR="006321CC">
        <w:t xml:space="preserve"> (9 items)</w:t>
      </w:r>
      <w:r>
        <w:t>, Learning at Home</w:t>
      </w:r>
      <w:r w:rsidR="006321CC">
        <w:t xml:space="preserve"> (7 items)</w:t>
      </w:r>
      <w:r>
        <w:t>, and Community Partnerships</w:t>
      </w:r>
      <w:r w:rsidR="006321CC">
        <w:t xml:space="preserve"> (6 items)</w:t>
      </w:r>
      <w:r>
        <w:t>.</w:t>
      </w:r>
    </w:p>
    <w:p w14:paraId="0F46DE29" w14:textId="5E954F1D" w:rsidR="00D323E3" w:rsidRDefault="000E2326" w:rsidP="00D323E3">
      <w:r>
        <w:t>T</w:t>
      </w:r>
      <w:r w:rsidR="003E75FC">
        <w:t xml:space="preserve">his needs assessment tool </w:t>
      </w:r>
      <w:r w:rsidR="00086B58">
        <w:t>will</w:t>
      </w:r>
      <w:r w:rsidR="003E75FC">
        <w:t>:</w:t>
      </w:r>
    </w:p>
    <w:p w14:paraId="38574775" w14:textId="28ADADE6" w:rsidR="003E75FC" w:rsidRDefault="003E75FC" w:rsidP="003E75FC">
      <w:pPr>
        <w:pStyle w:val="ListParagraph"/>
        <w:numPr>
          <w:ilvl w:val="0"/>
          <w:numId w:val="26"/>
        </w:numPr>
      </w:pPr>
      <w:r>
        <w:t xml:space="preserve">Provide direction for </w:t>
      </w:r>
      <w:r w:rsidR="000E2326">
        <w:t>your family engagement planning for this</w:t>
      </w:r>
      <w:r>
        <w:t xml:space="preserve"> school </w:t>
      </w:r>
      <w:r w:rsidR="00086B58">
        <w:t>year.</w:t>
      </w:r>
    </w:p>
    <w:p w14:paraId="5001EB9F" w14:textId="3150FE8F" w:rsidR="00086B58" w:rsidRDefault="003E75FC" w:rsidP="003C5E97">
      <w:pPr>
        <w:pStyle w:val="ListParagraph"/>
        <w:numPr>
          <w:ilvl w:val="0"/>
          <w:numId w:val="26"/>
        </w:numPr>
      </w:pPr>
      <w:r>
        <w:t xml:space="preserve">Determine </w:t>
      </w:r>
      <w:r w:rsidR="00086B58">
        <w:t>priorit</w:t>
      </w:r>
      <w:r w:rsidR="003C5E97">
        <w:t>y items (we recommend no more than 3 per year)</w:t>
      </w:r>
      <w:r w:rsidR="00086B58">
        <w:t>.</w:t>
      </w:r>
      <w:r w:rsidR="00640DBD">
        <w:t xml:space="preserve"> </w:t>
      </w:r>
    </w:p>
    <w:p w14:paraId="18202D5C" w14:textId="67298BD7" w:rsidR="00086B58" w:rsidRPr="00640DBD" w:rsidRDefault="00C17C30" w:rsidP="003C5E97">
      <w:pPr>
        <w:pStyle w:val="Heading2"/>
        <w:rPr>
          <w:color w:val="auto"/>
        </w:rPr>
      </w:pPr>
      <w:r w:rsidRPr="00640DBD">
        <w:rPr>
          <w:color w:val="auto"/>
        </w:rPr>
        <w:t>Directions</w:t>
      </w:r>
    </w:p>
    <w:p w14:paraId="3FE693F1" w14:textId="77777777" w:rsidR="003C5E97" w:rsidRPr="003C5E97" w:rsidRDefault="003C5E97" w:rsidP="003C5E97"/>
    <w:p w14:paraId="2E983AB5" w14:textId="08F41A70" w:rsidR="003C5E97" w:rsidRDefault="003C5E97" w:rsidP="003C5E97">
      <w:pPr>
        <w:pStyle w:val="ListParagraph"/>
        <w:numPr>
          <w:ilvl w:val="0"/>
          <w:numId w:val="33"/>
        </w:numPr>
      </w:pPr>
      <w:r>
        <w:t>Include teacher, support staff, famil</w:t>
      </w:r>
      <w:r w:rsidR="002413C1">
        <w:t>y</w:t>
      </w:r>
      <w:r>
        <w:t>, and administrator perspectives when completing this tool. Including those perspectives will provide your school with the best results.</w:t>
      </w:r>
      <w:r w:rsidR="002413C1">
        <w:t xml:space="preserve"> </w:t>
      </w:r>
    </w:p>
    <w:p w14:paraId="6311F867" w14:textId="7D940D88" w:rsidR="003C5E97" w:rsidRDefault="003C5E97" w:rsidP="003C5E97">
      <w:pPr>
        <w:pStyle w:val="ListParagraph"/>
        <w:numPr>
          <w:ilvl w:val="0"/>
          <w:numId w:val="33"/>
        </w:numPr>
      </w:pPr>
      <w:r>
        <w:t>Review the items ahead of time.</w:t>
      </w:r>
      <w:r w:rsidR="002413C1">
        <w:t xml:space="preserve"> Determine if you will use the whole tool or only a portion.</w:t>
      </w:r>
    </w:p>
    <w:p w14:paraId="3EBC8404" w14:textId="4C5FE83B" w:rsidR="003C5E97" w:rsidRDefault="003C5E97" w:rsidP="003C5E97">
      <w:pPr>
        <w:pStyle w:val="ListParagraph"/>
        <w:numPr>
          <w:ilvl w:val="0"/>
          <w:numId w:val="33"/>
        </w:numPr>
      </w:pPr>
      <w:r>
        <w:t>Consider which discussion protocol (see Appendix A) you could use to help in gathering your team members’ perspectives.</w:t>
      </w:r>
    </w:p>
    <w:p w14:paraId="03296AA4" w14:textId="77777777" w:rsidR="003C5E97" w:rsidRDefault="0072553A" w:rsidP="0072553A">
      <w:pPr>
        <w:pStyle w:val="ListParagraph"/>
        <w:numPr>
          <w:ilvl w:val="0"/>
          <w:numId w:val="33"/>
        </w:numPr>
      </w:pPr>
      <w:r>
        <w:t xml:space="preserve">Gather </w:t>
      </w:r>
      <w:r w:rsidR="003C5E97">
        <w:t>evidence</w:t>
      </w:r>
      <w:r>
        <w:t xml:space="preserve"> </w:t>
      </w:r>
      <w:r w:rsidR="003C5E97">
        <w:t>to inform your</w:t>
      </w:r>
      <w:r>
        <w:t xml:space="preserve"> assessment. </w:t>
      </w:r>
      <w:r w:rsidR="003C5E97">
        <w:t>For example, your current communication strategies for engaging with families, supports the school provides to families for learning at home across grade levels, and information about current partnerships.</w:t>
      </w:r>
    </w:p>
    <w:p w14:paraId="76A0E31D" w14:textId="33D80960" w:rsidR="00E11D8F" w:rsidRPr="0072553A" w:rsidRDefault="002413C1" w:rsidP="002413C1">
      <w:pPr>
        <w:pStyle w:val="ListParagraph"/>
        <w:numPr>
          <w:ilvl w:val="0"/>
          <w:numId w:val="33"/>
        </w:numPr>
      </w:pPr>
      <w:r>
        <w:t>With your school team, consider each item. Allow some time for discussion. As a team, come to a consensus for each item’s rating based on the scale below:</w:t>
      </w:r>
      <w:r w:rsidR="00E11D8F">
        <w:t xml:space="preserve"> </w:t>
      </w:r>
    </w:p>
    <w:p w14:paraId="5BFCDC2A" w14:textId="176C92BE" w:rsidR="00D323E3" w:rsidRPr="00086B58" w:rsidRDefault="00086B58" w:rsidP="002413C1">
      <w:pPr>
        <w:ind w:firstLine="720"/>
        <w:rPr>
          <w:b/>
          <w:bCs/>
        </w:rPr>
      </w:pPr>
      <w:r w:rsidRPr="00086B58">
        <w:rPr>
          <w:b/>
          <w:bCs/>
        </w:rPr>
        <w:t>The Needs Assessment Rating Scale</w:t>
      </w:r>
    </w:p>
    <w:tbl>
      <w:tblPr>
        <w:tblStyle w:val="TableGrid"/>
        <w:tblW w:w="8640" w:type="dxa"/>
        <w:tblInd w:w="715" w:type="dxa"/>
        <w:tblLook w:val="04A0" w:firstRow="1" w:lastRow="0" w:firstColumn="1" w:lastColumn="0" w:noHBand="0" w:noVBand="1"/>
      </w:tblPr>
      <w:tblGrid>
        <w:gridCol w:w="1885"/>
        <w:gridCol w:w="450"/>
        <w:gridCol w:w="6305"/>
      </w:tblGrid>
      <w:tr w:rsidR="00371DA9" w14:paraId="79F8EDE4" w14:textId="77777777" w:rsidTr="002413C1">
        <w:tc>
          <w:tcPr>
            <w:tcW w:w="1885" w:type="dxa"/>
            <w:shd w:val="clear" w:color="auto" w:fill="B2B2B2" w:themeFill="accent2"/>
          </w:tcPr>
          <w:p w14:paraId="4AEAEE32" w14:textId="54A14B02" w:rsidR="00371DA9" w:rsidRPr="00086B58" w:rsidRDefault="00371DA9" w:rsidP="00A85B68">
            <w:pPr>
              <w:rPr>
                <w:b/>
                <w:bCs/>
              </w:rPr>
            </w:pPr>
            <w:r w:rsidRPr="00086B58">
              <w:rPr>
                <w:b/>
                <w:bCs/>
              </w:rPr>
              <w:t>Rating</w:t>
            </w:r>
          </w:p>
        </w:tc>
        <w:tc>
          <w:tcPr>
            <w:tcW w:w="450" w:type="dxa"/>
            <w:shd w:val="clear" w:color="auto" w:fill="B2B2B2" w:themeFill="accent2"/>
          </w:tcPr>
          <w:p w14:paraId="31C0CE87" w14:textId="77777777" w:rsidR="00371DA9" w:rsidRPr="00086B58" w:rsidRDefault="00371DA9" w:rsidP="00A85B68">
            <w:pPr>
              <w:rPr>
                <w:b/>
                <w:bCs/>
              </w:rPr>
            </w:pPr>
          </w:p>
        </w:tc>
        <w:tc>
          <w:tcPr>
            <w:tcW w:w="6305" w:type="dxa"/>
            <w:shd w:val="clear" w:color="auto" w:fill="B2B2B2" w:themeFill="accent2"/>
          </w:tcPr>
          <w:p w14:paraId="4CBFED21" w14:textId="1076A0AF" w:rsidR="00371DA9" w:rsidRPr="00086B58" w:rsidRDefault="00371DA9" w:rsidP="00A85B68">
            <w:pPr>
              <w:rPr>
                <w:b/>
                <w:bCs/>
              </w:rPr>
            </w:pPr>
            <w:r w:rsidRPr="00086B58">
              <w:rPr>
                <w:b/>
                <w:bCs/>
              </w:rPr>
              <w:t>Criteria</w:t>
            </w:r>
          </w:p>
        </w:tc>
      </w:tr>
      <w:tr w:rsidR="00A85B68" w14:paraId="4E461C94" w14:textId="77777777" w:rsidTr="002413C1">
        <w:tc>
          <w:tcPr>
            <w:tcW w:w="1885" w:type="dxa"/>
          </w:tcPr>
          <w:p w14:paraId="5862EC2B" w14:textId="73F4DB63" w:rsidR="00A85B68" w:rsidRDefault="00A85B68" w:rsidP="00A85B68">
            <w:r>
              <w:t>Not Implemented</w:t>
            </w:r>
          </w:p>
        </w:tc>
        <w:tc>
          <w:tcPr>
            <w:tcW w:w="450" w:type="dxa"/>
          </w:tcPr>
          <w:p w14:paraId="660B17DE" w14:textId="65846681" w:rsidR="00A85B68" w:rsidRDefault="00A85B68" w:rsidP="00A85B68">
            <w:r>
              <w:t>0</w:t>
            </w:r>
          </w:p>
        </w:tc>
        <w:tc>
          <w:tcPr>
            <w:tcW w:w="6305" w:type="dxa"/>
          </w:tcPr>
          <w:p w14:paraId="529F8F37" w14:textId="600C54B8" w:rsidR="00A85B68" w:rsidRDefault="004D6F67" w:rsidP="00A85B68">
            <w:r>
              <w:t>We do not do this</w:t>
            </w:r>
            <w:r w:rsidR="00980DE3">
              <w:t xml:space="preserve"> yet</w:t>
            </w:r>
            <w:r>
              <w:t xml:space="preserve">. </w:t>
            </w:r>
          </w:p>
        </w:tc>
      </w:tr>
      <w:tr w:rsidR="00A85B68" w14:paraId="4C0AC456" w14:textId="77777777" w:rsidTr="002413C1">
        <w:tc>
          <w:tcPr>
            <w:tcW w:w="1885" w:type="dxa"/>
          </w:tcPr>
          <w:p w14:paraId="72C32D4F" w14:textId="6659335A" w:rsidR="00A85B68" w:rsidRDefault="00C60636" w:rsidP="00A85B68">
            <w:r>
              <w:t>Emergent</w:t>
            </w:r>
          </w:p>
        </w:tc>
        <w:tc>
          <w:tcPr>
            <w:tcW w:w="450" w:type="dxa"/>
          </w:tcPr>
          <w:p w14:paraId="44AE1DD8" w14:textId="235D3E81" w:rsidR="00A85B68" w:rsidRDefault="00A85B68" w:rsidP="00A85B68">
            <w:r>
              <w:t>1</w:t>
            </w:r>
          </w:p>
        </w:tc>
        <w:tc>
          <w:tcPr>
            <w:tcW w:w="6305" w:type="dxa"/>
          </w:tcPr>
          <w:p w14:paraId="66BBC1E8" w14:textId="0BF31EFD" w:rsidR="00A85B68" w:rsidRDefault="004D6F67" w:rsidP="00A85B68">
            <w:r>
              <w:t xml:space="preserve">We have discussed this. </w:t>
            </w:r>
            <w:r w:rsidR="005B2415">
              <w:t xml:space="preserve">We </w:t>
            </w:r>
            <w:r w:rsidR="002413C1">
              <w:t>occasionally</w:t>
            </w:r>
            <w:r w:rsidR="00130707">
              <w:t xml:space="preserve"> implement th</w:t>
            </w:r>
            <w:r w:rsidR="001E56C8">
              <w:t>e practice with varying levels of success</w:t>
            </w:r>
            <w:r w:rsidR="00130707">
              <w:t>.</w:t>
            </w:r>
          </w:p>
        </w:tc>
      </w:tr>
      <w:tr w:rsidR="00A85B68" w14:paraId="11080665" w14:textId="77777777" w:rsidTr="002413C1">
        <w:tc>
          <w:tcPr>
            <w:tcW w:w="1885" w:type="dxa"/>
          </w:tcPr>
          <w:p w14:paraId="541AF607" w14:textId="37F1C4FD" w:rsidR="00A85B68" w:rsidRDefault="00C60636" w:rsidP="00A85B68">
            <w:r>
              <w:t>Rising</w:t>
            </w:r>
          </w:p>
        </w:tc>
        <w:tc>
          <w:tcPr>
            <w:tcW w:w="450" w:type="dxa"/>
          </w:tcPr>
          <w:p w14:paraId="295D3BC4" w14:textId="4B3393F5" w:rsidR="00A85B68" w:rsidRDefault="00A85B68" w:rsidP="00A85B68">
            <w:r>
              <w:t>2</w:t>
            </w:r>
          </w:p>
        </w:tc>
        <w:tc>
          <w:tcPr>
            <w:tcW w:w="6305" w:type="dxa"/>
          </w:tcPr>
          <w:p w14:paraId="78CAA425" w14:textId="04272616" w:rsidR="00A85B68" w:rsidRDefault="002413C1" w:rsidP="00A85B68">
            <w:r>
              <w:t>We</w:t>
            </w:r>
            <w:r w:rsidR="004D6F67">
              <w:t xml:space="preserve"> implement th</w:t>
            </w:r>
            <w:r>
              <w:t>is</w:t>
            </w:r>
            <w:r w:rsidR="004D6F67">
              <w:t xml:space="preserve"> p</w:t>
            </w:r>
            <w:r w:rsidR="00130707">
              <w:t>ractice</w:t>
            </w:r>
            <w:r w:rsidR="005B2415">
              <w:t>, but we have room for growth.</w:t>
            </w:r>
          </w:p>
        </w:tc>
      </w:tr>
      <w:tr w:rsidR="00A85B68" w14:paraId="58B46433" w14:textId="77777777" w:rsidTr="002413C1">
        <w:tc>
          <w:tcPr>
            <w:tcW w:w="1885" w:type="dxa"/>
          </w:tcPr>
          <w:p w14:paraId="7BEA1A58" w14:textId="7E46AD62" w:rsidR="00A85B68" w:rsidRDefault="00A85B68" w:rsidP="00A85B68">
            <w:r>
              <w:t>Exemplary</w:t>
            </w:r>
          </w:p>
        </w:tc>
        <w:tc>
          <w:tcPr>
            <w:tcW w:w="450" w:type="dxa"/>
          </w:tcPr>
          <w:p w14:paraId="5F019103" w14:textId="14C00795" w:rsidR="00A85B68" w:rsidRDefault="00A85B68" w:rsidP="00A85B68">
            <w:r>
              <w:t>3</w:t>
            </w:r>
          </w:p>
        </w:tc>
        <w:tc>
          <w:tcPr>
            <w:tcW w:w="6305" w:type="dxa"/>
          </w:tcPr>
          <w:p w14:paraId="5A25016C" w14:textId="2ACBBD71" w:rsidR="00A85B68" w:rsidRDefault="002413C1" w:rsidP="00A85B68">
            <w:r>
              <w:t xml:space="preserve">We are good at this! </w:t>
            </w:r>
            <w:r w:rsidR="00130707">
              <w:t>There is school-wide implementation of th</w:t>
            </w:r>
            <w:r w:rsidR="001E56C8">
              <w:t>e</w:t>
            </w:r>
            <w:r w:rsidR="00130707">
              <w:t xml:space="preserve"> practice with fidelity.</w:t>
            </w:r>
          </w:p>
        </w:tc>
      </w:tr>
    </w:tbl>
    <w:p w14:paraId="7DDABB95" w14:textId="77777777" w:rsidR="00A85B68" w:rsidRDefault="00A85B68" w:rsidP="002413C1">
      <w:pPr>
        <w:spacing w:after="0"/>
      </w:pPr>
    </w:p>
    <w:p w14:paraId="017E9A23" w14:textId="75B347AA" w:rsidR="002413C1" w:rsidRDefault="002413C1" w:rsidP="002413C1">
      <w:pPr>
        <w:pStyle w:val="ListParagraph"/>
        <w:ind w:hanging="360"/>
      </w:pPr>
      <w:r>
        <w:t xml:space="preserve">6.   Use the results of the needs assessment to guide the family engagement strategies your school will include in your </w:t>
      </w:r>
      <w:r w:rsidR="002D1F27">
        <w:t>improvement plan</w:t>
      </w:r>
      <w:r>
        <w:t xml:space="preserve"> for this school year. </w:t>
      </w:r>
    </w:p>
    <w:p w14:paraId="2305CFD7" w14:textId="77777777" w:rsidR="002413C1" w:rsidRDefault="002413C1" w:rsidP="002413C1"/>
    <w:p w14:paraId="27DB196B" w14:textId="70EBD98C" w:rsidR="002413C1" w:rsidRPr="002413C1" w:rsidRDefault="002413C1" w:rsidP="002413C1">
      <w:pPr>
        <w:sectPr w:rsidR="002413C1" w:rsidRPr="002413C1" w:rsidSect="00086B58">
          <w:headerReference w:type="first" r:id="rId11"/>
          <w:pgSz w:w="12240" w:h="15840"/>
          <w:pgMar w:top="1440" w:right="1440" w:bottom="1440" w:left="1440" w:header="720" w:footer="720" w:gutter="0"/>
          <w:cols w:space="720"/>
          <w:titlePg/>
          <w:docGrid w:linePitch="360"/>
        </w:sectPr>
      </w:pPr>
    </w:p>
    <w:p w14:paraId="6A19226A" w14:textId="5728DC12" w:rsidR="00D323E3" w:rsidRPr="00086B58" w:rsidRDefault="00086B58" w:rsidP="00086B58">
      <w:pPr>
        <w:pStyle w:val="Heading1"/>
        <w:ind w:left="-900"/>
        <w:jc w:val="center"/>
        <w:rPr>
          <w:b/>
          <w:bCs/>
        </w:rPr>
      </w:pPr>
      <w:r w:rsidRPr="00086B58">
        <w:rPr>
          <w:b/>
          <w:bCs/>
        </w:rPr>
        <w:lastRenderedPageBreak/>
        <w:t xml:space="preserve">Family Engagement Area #1: </w:t>
      </w:r>
      <w:r w:rsidR="001C2DFC" w:rsidRPr="00086B58">
        <w:rPr>
          <w:b/>
          <w:bCs/>
        </w:rPr>
        <w:t>Communication</w:t>
      </w:r>
    </w:p>
    <w:tbl>
      <w:tblPr>
        <w:tblStyle w:val="TableGrid"/>
        <w:tblW w:w="14940" w:type="dxa"/>
        <w:tblInd w:w="-905" w:type="dxa"/>
        <w:tblLook w:val="04A0" w:firstRow="1" w:lastRow="0" w:firstColumn="1" w:lastColumn="0" w:noHBand="0" w:noVBand="1"/>
      </w:tblPr>
      <w:tblGrid>
        <w:gridCol w:w="5040"/>
        <w:gridCol w:w="870"/>
        <w:gridCol w:w="2820"/>
        <w:gridCol w:w="4590"/>
        <w:gridCol w:w="1620"/>
      </w:tblGrid>
      <w:tr w:rsidR="000E2326" w14:paraId="3D51262D" w14:textId="67940E22" w:rsidTr="00C47A1D">
        <w:trPr>
          <w:cantSplit/>
          <w:tblHeader/>
        </w:trPr>
        <w:tc>
          <w:tcPr>
            <w:tcW w:w="5040" w:type="dxa"/>
            <w:shd w:val="clear" w:color="auto" w:fill="B2B2B2" w:themeFill="accent2"/>
          </w:tcPr>
          <w:p w14:paraId="64B21CDA" w14:textId="59337801" w:rsidR="000E2326" w:rsidRPr="00A85B68" w:rsidRDefault="000E2326" w:rsidP="00D323E3">
            <w:pPr>
              <w:rPr>
                <w:b/>
                <w:bCs/>
              </w:rPr>
            </w:pPr>
            <w:r w:rsidRPr="00A85B68">
              <w:rPr>
                <w:b/>
                <w:bCs/>
              </w:rPr>
              <w:t>Item</w:t>
            </w:r>
          </w:p>
        </w:tc>
        <w:tc>
          <w:tcPr>
            <w:tcW w:w="870" w:type="dxa"/>
            <w:shd w:val="clear" w:color="auto" w:fill="B2B2B2" w:themeFill="accent2"/>
          </w:tcPr>
          <w:p w14:paraId="2009BBE7" w14:textId="584290C9" w:rsidR="000E2326" w:rsidRPr="00A85B68" w:rsidRDefault="000E2326" w:rsidP="00D323E3">
            <w:pPr>
              <w:rPr>
                <w:b/>
                <w:bCs/>
              </w:rPr>
            </w:pPr>
            <w:r>
              <w:rPr>
                <w:b/>
                <w:bCs/>
              </w:rPr>
              <w:t>Rating (0-3)</w:t>
            </w:r>
            <w:r w:rsidRPr="00A85B68">
              <w:rPr>
                <w:b/>
                <w:bCs/>
              </w:rPr>
              <w:t xml:space="preserve"> </w:t>
            </w:r>
          </w:p>
        </w:tc>
        <w:tc>
          <w:tcPr>
            <w:tcW w:w="2820" w:type="dxa"/>
            <w:shd w:val="clear" w:color="auto" w:fill="B2B2B2" w:themeFill="accent2"/>
          </w:tcPr>
          <w:p w14:paraId="307A4531" w14:textId="4CD15654" w:rsidR="000E2326" w:rsidRPr="00A85B68" w:rsidRDefault="000E2326" w:rsidP="00D323E3">
            <w:pPr>
              <w:rPr>
                <w:b/>
                <w:bCs/>
              </w:rPr>
            </w:pPr>
            <w:r w:rsidRPr="00A85B68">
              <w:rPr>
                <w:b/>
                <w:bCs/>
              </w:rPr>
              <w:t>Evidence</w:t>
            </w:r>
          </w:p>
        </w:tc>
        <w:tc>
          <w:tcPr>
            <w:tcW w:w="4590" w:type="dxa"/>
            <w:shd w:val="clear" w:color="auto" w:fill="B2B2B2" w:themeFill="accent2"/>
          </w:tcPr>
          <w:p w14:paraId="5DBD2C16" w14:textId="600191EB" w:rsidR="000E2326" w:rsidRPr="00A85B68" w:rsidRDefault="00632FE9" w:rsidP="00D323E3">
            <w:pPr>
              <w:rPr>
                <w:b/>
                <w:bCs/>
              </w:rPr>
            </w:pPr>
            <w:r>
              <w:rPr>
                <w:b/>
                <w:bCs/>
              </w:rPr>
              <w:t>Notes</w:t>
            </w:r>
            <w:r w:rsidR="000E2326" w:rsidRPr="00A85B68">
              <w:rPr>
                <w:b/>
                <w:bCs/>
              </w:rPr>
              <w:t xml:space="preserve"> </w:t>
            </w:r>
            <w:r w:rsidR="003C5E97">
              <w:rPr>
                <w:b/>
                <w:bCs/>
              </w:rPr>
              <w:t>&amp;</w:t>
            </w:r>
            <w:r w:rsidR="000E2326" w:rsidRPr="00A85B68">
              <w:rPr>
                <w:b/>
                <w:bCs/>
              </w:rPr>
              <w:t xml:space="preserve"> Next Steps</w:t>
            </w:r>
          </w:p>
        </w:tc>
        <w:tc>
          <w:tcPr>
            <w:tcW w:w="1620" w:type="dxa"/>
            <w:shd w:val="clear" w:color="auto" w:fill="B2B2B2" w:themeFill="accent2"/>
          </w:tcPr>
          <w:p w14:paraId="35EF0B7D" w14:textId="5BDC6AC2" w:rsidR="000E2326" w:rsidRPr="00A85B68" w:rsidRDefault="000E2326" w:rsidP="00D323E3">
            <w:pPr>
              <w:rPr>
                <w:b/>
                <w:bCs/>
              </w:rPr>
            </w:pPr>
            <w:r>
              <w:rPr>
                <w:b/>
                <w:bCs/>
              </w:rPr>
              <w:t xml:space="preserve">Priority </w:t>
            </w:r>
            <w:r w:rsidR="003C5E97">
              <w:rPr>
                <w:b/>
                <w:bCs/>
              </w:rPr>
              <w:t>this year</w:t>
            </w:r>
            <w:r w:rsidR="002413C1">
              <w:rPr>
                <w:b/>
                <w:bCs/>
              </w:rPr>
              <w:t>?</w:t>
            </w:r>
          </w:p>
        </w:tc>
      </w:tr>
      <w:tr w:rsidR="000E2326" w14:paraId="6BBF581F" w14:textId="2E988BC9" w:rsidTr="00C47A1D">
        <w:trPr>
          <w:cantSplit/>
        </w:trPr>
        <w:tc>
          <w:tcPr>
            <w:tcW w:w="5040" w:type="dxa"/>
          </w:tcPr>
          <w:p w14:paraId="035B99C9" w14:textId="207DEB64" w:rsidR="000E2326" w:rsidRDefault="000E2326" w:rsidP="00086B58">
            <w:pPr>
              <w:pStyle w:val="ListParagraph"/>
              <w:numPr>
                <w:ilvl w:val="0"/>
                <w:numId w:val="30"/>
              </w:numPr>
              <w:ind w:left="248" w:hanging="270"/>
            </w:pPr>
            <w:r>
              <w:t xml:space="preserve">We inform all families about their student’s academic and social emotional progress in a regular and timely manner. </w:t>
            </w:r>
          </w:p>
        </w:tc>
        <w:tc>
          <w:tcPr>
            <w:tcW w:w="870" w:type="dxa"/>
          </w:tcPr>
          <w:p w14:paraId="6C276146" w14:textId="155C2748" w:rsidR="000E2326" w:rsidRDefault="000E2326" w:rsidP="00D323E3"/>
        </w:tc>
        <w:tc>
          <w:tcPr>
            <w:tcW w:w="2820" w:type="dxa"/>
          </w:tcPr>
          <w:p w14:paraId="3DCBAF8B" w14:textId="77777777" w:rsidR="000E2326" w:rsidRDefault="000E2326" w:rsidP="00D323E3"/>
        </w:tc>
        <w:tc>
          <w:tcPr>
            <w:tcW w:w="4590" w:type="dxa"/>
          </w:tcPr>
          <w:p w14:paraId="4A1A3DBD" w14:textId="77777777" w:rsidR="000E2326" w:rsidRDefault="000E2326" w:rsidP="00D323E3"/>
        </w:tc>
        <w:tc>
          <w:tcPr>
            <w:tcW w:w="1620" w:type="dxa"/>
          </w:tcPr>
          <w:p w14:paraId="2D375B8A" w14:textId="77777777" w:rsidR="000E2326" w:rsidRDefault="000E2326" w:rsidP="00D323E3"/>
        </w:tc>
      </w:tr>
      <w:tr w:rsidR="000E2326" w14:paraId="06A67545" w14:textId="3FBF757B" w:rsidTr="00C47A1D">
        <w:trPr>
          <w:cantSplit/>
        </w:trPr>
        <w:tc>
          <w:tcPr>
            <w:tcW w:w="5040" w:type="dxa"/>
          </w:tcPr>
          <w:p w14:paraId="4E5FB5B2" w14:textId="08E5C6F0" w:rsidR="000E2326" w:rsidRDefault="000E2326" w:rsidP="00086B58">
            <w:pPr>
              <w:pStyle w:val="ListParagraph"/>
              <w:numPr>
                <w:ilvl w:val="0"/>
                <w:numId w:val="30"/>
              </w:numPr>
              <w:ind w:left="248" w:hanging="270"/>
            </w:pPr>
            <w:r w:rsidRPr="00A85B68">
              <w:t>School personnel communicate and model high, positive expectations for</w:t>
            </w:r>
            <w:r>
              <w:t xml:space="preserve"> each</w:t>
            </w:r>
            <w:r w:rsidRPr="00A85B68">
              <w:t xml:space="preserve"> student</w:t>
            </w:r>
            <w:r>
              <w:t>’s</w:t>
            </w:r>
            <w:r w:rsidRPr="00A85B68">
              <w:t xml:space="preserve"> academics and </w:t>
            </w:r>
            <w:r>
              <w:t>social-emotional skills</w:t>
            </w:r>
            <w:r w:rsidRPr="00A85B68">
              <w:t xml:space="preserve"> to</w:t>
            </w:r>
            <w:r>
              <w:t xml:space="preserve"> all</w:t>
            </w:r>
            <w:r w:rsidRPr="00A85B68">
              <w:t xml:space="preserve"> families.</w:t>
            </w:r>
          </w:p>
        </w:tc>
        <w:tc>
          <w:tcPr>
            <w:tcW w:w="870" w:type="dxa"/>
          </w:tcPr>
          <w:p w14:paraId="48CA4614" w14:textId="58554A05" w:rsidR="000E2326" w:rsidRDefault="000E2326" w:rsidP="00D323E3"/>
        </w:tc>
        <w:tc>
          <w:tcPr>
            <w:tcW w:w="2820" w:type="dxa"/>
          </w:tcPr>
          <w:p w14:paraId="12EF53FF" w14:textId="77777777" w:rsidR="000E2326" w:rsidRDefault="000E2326" w:rsidP="00D323E3"/>
        </w:tc>
        <w:tc>
          <w:tcPr>
            <w:tcW w:w="4590" w:type="dxa"/>
          </w:tcPr>
          <w:p w14:paraId="0276123E" w14:textId="77777777" w:rsidR="000E2326" w:rsidRDefault="000E2326" w:rsidP="00D323E3"/>
        </w:tc>
        <w:tc>
          <w:tcPr>
            <w:tcW w:w="1620" w:type="dxa"/>
          </w:tcPr>
          <w:p w14:paraId="2F0AB9F0" w14:textId="77777777" w:rsidR="000E2326" w:rsidRDefault="000E2326" w:rsidP="00D323E3"/>
        </w:tc>
      </w:tr>
      <w:tr w:rsidR="000E2326" w14:paraId="4B793BB4" w14:textId="498C0640" w:rsidTr="00C47A1D">
        <w:trPr>
          <w:cantSplit/>
        </w:trPr>
        <w:tc>
          <w:tcPr>
            <w:tcW w:w="5040" w:type="dxa"/>
          </w:tcPr>
          <w:p w14:paraId="14994712" w14:textId="62ED89A1" w:rsidR="000E2326" w:rsidRDefault="000E2326" w:rsidP="00632FE9">
            <w:pPr>
              <w:pStyle w:val="ListParagraph"/>
              <w:numPr>
                <w:ilvl w:val="0"/>
                <w:numId w:val="30"/>
              </w:numPr>
              <w:ind w:left="248" w:hanging="270"/>
            </w:pPr>
            <w:r>
              <w:t>Information</w:t>
            </w:r>
            <w:r w:rsidRPr="00A85B68">
              <w:t xml:space="preserve"> sent to families from the school is understandable</w:t>
            </w:r>
            <w:r>
              <w:t xml:space="preserve"> to all families </w:t>
            </w:r>
            <w:r w:rsidRPr="00A85B68">
              <w:t xml:space="preserve">(e.g., </w:t>
            </w:r>
            <w:r>
              <w:t xml:space="preserve">progress, </w:t>
            </w:r>
            <w:r w:rsidRPr="00A85B68">
              <w:t>standards, grade-level expectations).</w:t>
            </w:r>
          </w:p>
        </w:tc>
        <w:tc>
          <w:tcPr>
            <w:tcW w:w="870" w:type="dxa"/>
          </w:tcPr>
          <w:p w14:paraId="57484CBD" w14:textId="7E1A9A0B" w:rsidR="000E2326" w:rsidRDefault="000E2326" w:rsidP="00D323E3"/>
        </w:tc>
        <w:tc>
          <w:tcPr>
            <w:tcW w:w="2820" w:type="dxa"/>
          </w:tcPr>
          <w:p w14:paraId="0BB4C847" w14:textId="77777777" w:rsidR="000E2326" w:rsidRDefault="000E2326" w:rsidP="00D323E3"/>
        </w:tc>
        <w:tc>
          <w:tcPr>
            <w:tcW w:w="4590" w:type="dxa"/>
          </w:tcPr>
          <w:p w14:paraId="31740890" w14:textId="77777777" w:rsidR="000E2326" w:rsidRDefault="000E2326" w:rsidP="00D323E3"/>
        </w:tc>
        <w:tc>
          <w:tcPr>
            <w:tcW w:w="1620" w:type="dxa"/>
          </w:tcPr>
          <w:p w14:paraId="1BD8ABD4" w14:textId="77777777" w:rsidR="000E2326" w:rsidRDefault="000E2326" w:rsidP="00D323E3"/>
        </w:tc>
      </w:tr>
      <w:tr w:rsidR="000E2326" w14:paraId="46B17045" w14:textId="6244B10A" w:rsidTr="00C47A1D">
        <w:trPr>
          <w:cantSplit/>
        </w:trPr>
        <w:tc>
          <w:tcPr>
            <w:tcW w:w="5040" w:type="dxa"/>
          </w:tcPr>
          <w:p w14:paraId="0F196D31" w14:textId="78A1E5A3" w:rsidR="000E2326" w:rsidRDefault="000E2326" w:rsidP="00086B58">
            <w:pPr>
              <w:pStyle w:val="ListParagraph"/>
              <w:numPr>
                <w:ilvl w:val="0"/>
                <w:numId w:val="30"/>
              </w:numPr>
              <w:ind w:left="248" w:hanging="270"/>
            </w:pPr>
            <w:r>
              <w:t>I</w:t>
            </w:r>
            <w:r w:rsidRPr="00EC6BC6">
              <w:t xml:space="preserve">nformation sent to families from the school is </w:t>
            </w:r>
            <w:r>
              <w:t>accessible</w:t>
            </w:r>
            <w:r w:rsidRPr="00EC6BC6">
              <w:t xml:space="preserve"> to all families (e.g., progress, standards, grade-level expectations</w:t>
            </w:r>
            <w:r>
              <w:t>, methods of communication</w:t>
            </w:r>
            <w:r w:rsidRPr="00EC6BC6">
              <w:t>).</w:t>
            </w:r>
            <w:r>
              <w:t xml:space="preserve"> </w:t>
            </w:r>
          </w:p>
        </w:tc>
        <w:tc>
          <w:tcPr>
            <w:tcW w:w="870" w:type="dxa"/>
          </w:tcPr>
          <w:p w14:paraId="5D7EA10E" w14:textId="26AB84C7" w:rsidR="000E2326" w:rsidRDefault="000E2326" w:rsidP="00D323E3"/>
        </w:tc>
        <w:tc>
          <w:tcPr>
            <w:tcW w:w="2820" w:type="dxa"/>
          </w:tcPr>
          <w:p w14:paraId="5DF56F06" w14:textId="77777777" w:rsidR="000E2326" w:rsidRDefault="000E2326" w:rsidP="00D323E3"/>
        </w:tc>
        <w:tc>
          <w:tcPr>
            <w:tcW w:w="4590" w:type="dxa"/>
          </w:tcPr>
          <w:p w14:paraId="2BB12A53" w14:textId="77777777" w:rsidR="000E2326" w:rsidRDefault="000E2326" w:rsidP="00D323E3"/>
        </w:tc>
        <w:tc>
          <w:tcPr>
            <w:tcW w:w="1620" w:type="dxa"/>
          </w:tcPr>
          <w:p w14:paraId="0048C259" w14:textId="77777777" w:rsidR="000E2326" w:rsidRDefault="000E2326" w:rsidP="00D323E3"/>
        </w:tc>
      </w:tr>
      <w:tr w:rsidR="000E2326" w14:paraId="7E5B4FB0" w14:textId="02549186" w:rsidTr="00C47A1D">
        <w:trPr>
          <w:cantSplit/>
        </w:trPr>
        <w:tc>
          <w:tcPr>
            <w:tcW w:w="5040" w:type="dxa"/>
          </w:tcPr>
          <w:p w14:paraId="74804F89" w14:textId="0CE30CA1" w:rsidR="000E2326" w:rsidRDefault="000E2326" w:rsidP="00086B58">
            <w:pPr>
              <w:pStyle w:val="ListParagraph"/>
              <w:numPr>
                <w:ilvl w:val="0"/>
                <w:numId w:val="30"/>
              </w:numPr>
              <w:ind w:left="248" w:hanging="270"/>
            </w:pPr>
            <w:r>
              <w:t>Communication is two-way. We provide opportunities that are accessible to every family for input in school activities and their student’s learning.</w:t>
            </w:r>
          </w:p>
        </w:tc>
        <w:tc>
          <w:tcPr>
            <w:tcW w:w="870" w:type="dxa"/>
          </w:tcPr>
          <w:p w14:paraId="797821A5" w14:textId="476CF335" w:rsidR="000E2326" w:rsidRDefault="000E2326" w:rsidP="00D323E3"/>
        </w:tc>
        <w:tc>
          <w:tcPr>
            <w:tcW w:w="2820" w:type="dxa"/>
          </w:tcPr>
          <w:p w14:paraId="10AF9FEB" w14:textId="77777777" w:rsidR="000E2326" w:rsidRDefault="000E2326" w:rsidP="00D323E3"/>
        </w:tc>
        <w:tc>
          <w:tcPr>
            <w:tcW w:w="4590" w:type="dxa"/>
          </w:tcPr>
          <w:p w14:paraId="3C96C048" w14:textId="77777777" w:rsidR="000E2326" w:rsidRDefault="000E2326" w:rsidP="00D323E3"/>
        </w:tc>
        <w:tc>
          <w:tcPr>
            <w:tcW w:w="1620" w:type="dxa"/>
          </w:tcPr>
          <w:p w14:paraId="015F7636" w14:textId="77777777" w:rsidR="000E2326" w:rsidRDefault="000E2326" w:rsidP="00D323E3"/>
        </w:tc>
      </w:tr>
      <w:tr w:rsidR="000E2326" w14:paraId="7DA28D0F" w14:textId="46469DC4" w:rsidTr="00C47A1D">
        <w:trPr>
          <w:cantSplit/>
        </w:trPr>
        <w:tc>
          <w:tcPr>
            <w:tcW w:w="5040" w:type="dxa"/>
          </w:tcPr>
          <w:p w14:paraId="3B5B3085" w14:textId="69052AA2" w:rsidR="000E2326" w:rsidRDefault="000E2326" w:rsidP="00086B58">
            <w:pPr>
              <w:pStyle w:val="ListParagraph"/>
              <w:numPr>
                <w:ilvl w:val="0"/>
                <w:numId w:val="30"/>
              </w:numPr>
              <w:ind w:left="248" w:hanging="270"/>
            </w:pPr>
            <w:r w:rsidRPr="00371DA9">
              <w:t xml:space="preserve">Families who have home languages other than English are welcomed and encouraged to share their expectations and previous school experiences. They are provided with resources and supports for communicating with the school about their </w:t>
            </w:r>
            <w:r>
              <w:t>student</w:t>
            </w:r>
            <w:r w:rsidRPr="00371DA9">
              <w:t>’s</w:t>
            </w:r>
            <w:r>
              <w:t xml:space="preserve"> </w:t>
            </w:r>
            <w:r w:rsidRPr="00371DA9">
              <w:t>development</w:t>
            </w:r>
            <w:r>
              <w:t xml:space="preserve"> in their home language</w:t>
            </w:r>
            <w:r w:rsidRPr="00371DA9">
              <w:t>.  Language diversity is valued within the school.</w:t>
            </w:r>
          </w:p>
        </w:tc>
        <w:tc>
          <w:tcPr>
            <w:tcW w:w="870" w:type="dxa"/>
          </w:tcPr>
          <w:p w14:paraId="34612F8A" w14:textId="567BADDE" w:rsidR="000E2326" w:rsidRDefault="000E2326" w:rsidP="00D323E3"/>
        </w:tc>
        <w:tc>
          <w:tcPr>
            <w:tcW w:w="2820" w:type="dxa"/>
          </w:tcPr>
          <w:p w14:paraId="0F699714" w14:textId="77777777" w:rsidR="000E2326" w:rsidRDefault="000E2326" w:rsidP="00D323E3"/>
        </w:tc>
        <w:tc>
          <w:tcPr>
            <w:tcW w:w="4590" w:type="dxa"/>
          </w:tcPr>
          <w:p w14:paraId="60D59ADA" w14:textId="77777777" w:rsidR="000E2326" w:rsidRDefault="000E2326" w:rsidP="00D323E3"/>
        </w:tc>
        <w:tc>
          <w:tcPr>
            <w:tcW w:w="1620" w:type="dxa"/>
          </w:tcPr>
          <w:p w14:paraId="1E1F4FF1" w14:textId="77777777" w:rsidR="000E2326" w:rsidRDefault="000E2326" w:rsidP="00D323E3"/>
        </w:tc>
      </w:tr>
      <w:tr w:rsidR="000E2326" w14:paraId="155AE4B7" w14:textId="324A9E2D" w:rsidTr="00C47A1D">
        <w:trPr>
          <w:cantSplit/>
        </w:trPr>
        <w:tc>
          <w:tcPr>
            <w:tcW w:w="5040" w:type="dxa"/>
          </w:tcPr>
          <w:p w14:paraId="1FF5C9A8" w14:textId="21E4A64B" w:rsidR="000E2326" w:rsidRPr="00371DA9" w:rsidRDefault="000E2326" w:rsidP="00086B58">
            <w:pPr>
              <w:pStyle w:val="ListParagraph"/>
              <w:numPr>
                <w:ilvl w:val="0"/>
                <w:numId w:val="30"/>
              </w:numPr>
              <w:ind w:left="248" w:hanging="270"/>
            </w:pPr>
            <w:r>
              <w:t>We regularly examine patterns of inequity in our two</w:t>
            </w:r>
            <w:r w:rsidR="00632FE9">
              <w:t>-</w:t>
            </w:r>
            <w:r>
              <w:t>way communication processes with families and intentionally take action to eliminate those inequities.</w:t>
            </w:r>
          </w:p>
        </w:tc>
        <w:tc>
          <w:tcPr>
            <w:tcW w:w="870" w:type="dxa"/>
          </w:tcPr>
          <w:p w14:paraId="1EE976B7" w14:textId="77777777" w:rsidR="000E2326" w:rsidRDefault="000E2326" w:rsidP="00D323E3"/>
        </w:tc>
        <w:tc>
          <w:tcPr>
            <w:tcW w:w="2820" w:type="dxa"/>
          </w:tcPr>
          <w:p w14:paraId="7D7C0ED0" w14:textId="77777777" w:rsidR="000E2326" w:rsidRDefault="000E2326" w:rsidP="00D323E3"/>
        </w:tc>
        <w:tc>
          <w:tcPr>
            <w:tcW w:w="4590" w:type="dxa"/>
          </w:tcPr>
          <w:p w14:paraId="1B513494" w14:textId="77777777" w:rsidR="000E2326" w:rsidRDefault="000E2326" w:rsidP="00D323E3"/>
        </w:tc>
        <w:tc>
          <w:tcPr>
            <w:tcW w:w="1620" w:type="dxa"/>
          </w:tcPr>
          <w:p w14:paraId="73A30514" w14:textId="77777777" w:rsidR="000E2326" w:rsidRDefault="000E2326" w:rsidP="00D323E3"/>
        </w:tc>
      </w:tr>
      <w:tr w:rsidR="000E2326" w14:paraId="4E856DBF" w14:textId="5006BD36" w:rsidTr="00C47A1D">
        <w:trPr>
          <w:cantSplit/>
        </w:trPr>
        <w:tc>
          <w:tcPr>
            <w:tcW w:w="5040" w:type="dxa"/>
          </w:tcPr>
          <w:p w14:paraId="5E42AAF9" w14:textId="1C594A8F" w:rsidR="000E2326" w:rsidRDefault="000E2326" w:rsidP="00086B58">
            <w:pPr>
              <w:pStyle w:val="ListParagraph"/>
              <w:numPr>
                <w:ilvl w:val="0"/>
                <w:numId w:val="30"/>
              </w:numPr>
              <w:ind w:left="248" w:hanging="270"/>
            </w:pPr>
            <w:r w:rsidRPr="00371DA9">
              <w:lastRenderedPageBreak/>
              <w:t>When a</w:t>
            </w:r>
            <w:r>
              <w:t>ny</w:t>
            </w:r>
            <w:r w:rsidRPr="00371DA9">
              <w:t xml:space="preserve"> </w:t>
            </w:r>
            <w:r>
              <w:t>student</w:t>
            </w:r>
            <w:r w:rsidRPr="00371DA9">
              <w:t xml:space="preserve"> needs a little extra help, families are provided with school-based intervention plans for their child and receive more frequent communication about the </w:t>
            </w:r>
            <w:r>
              <w:t>student</w:t>
            </w:r>
            <w:r w:rsidRPr="00371DA9">
              <w:t xml:space="preserve">’s progress (bi-weekly, monthly, etc.).  Families </w:t>
            </w:r>
            <w:proofErr w:type="gramStart"/>
            <w:r w:rsidRPr="00371DA9">
              <w:t>have the opportunity to</w:t>
            </w:r>
            <w:proofErr w:type="gramEnd"/>
            <w:r w:rsidRPr="00371DA9">
              <w:t xml:space="preserve"> share feedback with the school and make decisions about their child’s plan. (Schools often call this “Tier II supports.”)</w:t>
            </w:r>
          </w:p>
        </w:tc>
        <w:tc>
          <w:tcPr>
            <w:tcW w:w="870" w:type="dxa"/>
          </w:tcPr>
          <w:p w14:paraId="3EA5EE05" w14:textId="1D059E20" w:rsidR="000E2326" w:rsidRDefault="000E2326" w:rsidP="00D323E3"/>
        </w:tc>
        <w:tc>
          <w:tcPr>
            <w:tcW w:w="2820" w:type="dxa"/>
          </w:tcPr>
          <w:p w14:paraId="7EA90E4E" w14:textId="77777777" w:rsidR="000E2326" w:rsidRDefault="000E2326" w:rsidP="00D323E3"/>
        </w:tc>
        <w:tc>
          <w:tcPr>
            <w:tcW w:w="4590" w:type="dxa"/>
          </w:tcPr>
          <w:p w14:paraId="3696B408" w14:textId="77777777" w:rsidR="000E2326" w:rsidRDefault="000E2326" w:rsidP="00D323E3"/>
        </w:tc>
        <w:tc>
          <w:tcPr>
            <w:tcW w:w="1620" w:type="dxa"/>
          </w:tcPr>
          <w:p w14:paraId="2D959EA7" w14:textId="77777777" w:rsidR="000E2326" w:rsidRDefault="000E2326" w:rsidP="00D323E3"/>
        </w:tc>
      </w:tr>
      <w:tr w:rsidR="000E2326" w14:paraId="2D37B793" w14:textId="5FF444EF" w:rsidTr="00C47A1D">
        <w:trPr>
          <w:cantSplit/>
        </w:trPr>
        <w:tc>
          <w:tcPr>
            <w:tcW w:w="5040" w:type="dxa"/>
          </w:tcPr>
          <w:p w14:paraId="2963FDB2" w14:textId="74A7ED4A" w:rsidR="000E2326" w:rsidRDefault="00632FE9" w:rsidP="00086B58">
            <w:pPr>
              <w:pStyle w:val="ListParagraph"/>
              <w:numPr>
                <w:ilvl w:val="0"/>
                <w:numId w:val="30"/>
              </w:numPr>
              <w:ind w:left="248" w:hanging="270"/>
            </w:pPr>
            <w:r w:rsidRPr="001127AE">
              <w:t>When a</w:t>
            </w:r>
            <w:r>
              <w:t>ny</w:t>
            </w:r>
            <w:r w:rsidRPr="001127AE">
              <w:t xml:space="preserve"> </w:t>
            </w:r>
            <w:r>
              <w:t>student</w:t>
            </w:r>
            <w:r w:rsidRPr="001127AE">
              <w:t xml:space="preserve"> </w:t>
            </w:r>
            <w:r>
              <w:t>needs individualized learning or behavioral supports</w:t>
            </w:r>
            <w:r w:rsidR="000E2326" w:rsidRPr="00371DA9">
              <w:t>, families are provided with</w:t>
            </w:r>
            <w:r w:rsidR="000E2326">
              <w:t xml:space="preserve"> an individualized</w:t>
            </w:r>
            <w:r w:rsidR="000E2326" w:rsidRPr="00371DA9">
              <w:t xml:space="preserve"> school-based intervention programs for their </w:t>
            </w:r>
            <w:r w:rsidR="000E2326">
              <w:t>student</w:t>
            </w:r>
            <w:r w:rsidR="000E2326" w:rsidRPr="00371DA9">
              <w:t xml:space="preserve"> and receive more frequent communication (bi-weekly, monthly, etc.) about the </w:t>
            </w:r>
            <w:r w:rsidR="000E2326">
              <w:t>student</w:t>
            </w:r>
            <w:r w:rsidR="000E2326" w:rsidRPr="00371DA9">
              <w:t xml:space="preserve">’s progress.  Families </w:t>
            </w:r>
            <w:proofErr w:type="gramStart"/>
            <w:r w:rsidR="000E2326" w:rsidRPr="00371DA9">
              <w:t>have the opportunity to</w:t>
            </w:r>
            <w:proofErr w:type="gramEnd"/>
            <w:r w:rsidR="000E2326" w:rsidRPr="00371DA9">
              <w:t xml:space="preserve"> share feedback with the school and make decisions about their </w:t>
            </w:r>
            <w:r w:rsidR="000E2326">
              <w:t>student</w:t>
            </w:r>
            <w:r w:rsidR="000E2326" w:rsidRPr="00371DA9">
              <w:t>’s plan. (Schools often call this “Tier III supports.”)</w:t>
            </w:r>
          </w:p>
        </w:tc>
        <w:tc>
          <w:tcPr>
            <w:tcW w:w="870" w:type="dxa"/>
          </w:tcPr>
          <w:p w14:paraId="7C08660F" w14:textId="5E73D8A7" w:rsidR="000E2326" w:rsidRDefault="000E2326" w:rsidP="00D323E3"/>
        </w:tc>
        <w:tc>
          <w:tcPr>
            <w:tcW w:w="2820" w:type="dxa"/>
          </w:tcPr>
          <w:p w14:paraId="694049D4" w14:textId="77777777" w:rsidR="000E2326" w:rsidRDefault="000E2326" w:rsidP="00D323E3"/>
        </w:tc>
        <w:tc>
          <w:tcPr>
            <w:tcW w:w="4590" w:type="dxa"/>
          </w:tcPr>
          <w:p w14:paraId="625D37EF" w14:textId="77777777" w:rsidR="000E2326" w:rsidRDefault="000E2326" w:rsidP="00D323E3"/>
        </w:tc>
        <w:tc>
          <w:tcPr>
            <w:tcW w:w="1620" w:type="dxa"/>
          </w:tcPr>
          <w:p w14:paraId="39055D9D" w14:textId="77777777" w:rsidR="000E2326" w:rsidRDefault="000E2326" w:rsidP="00D323E3"/>
        </w:tc>
      </w:tr>
    </w:tbl>
    <w:p w14:paraId="0C3D39B3" w14:textId="3FFE63E2" w:rsidR="001C2DFC" w:rsidRDefault="001C2DFC"/>
    <w:p w14:paraId="1D4AA02F" w14:textId="3438365D" w:rsidR="001C2DFC" w:rsidRDefault="001C2DFC"/>
    <w:p w14:paraId="6B8A5CC2" w14:textId="1B7FB432" w:rsidR="001C2DFC" w:rsidRDefault="001C2DFC"/>
    <w:p w14:paraId="0D30B5B6" w14:textId="20B7CEE7" w:rsidR="001C2DFC" w:rsidRDefault="001C2DFC"/>
    <w:p w14:paraId="468927D8" w14:textId="16CA5E97" w:rsidR="001C2DFC" w:rsidRDefault="001C2DFC"/>
    <w:p w14:paraId="6C9B8784" w14:textId="25AAC9CB" w:rsidR="001C2DFC" w:rsidRDefault="001C2DFC"/>
    <w:p w14:paraId="0B7EF0D0" w14:textId="77777777" w:rsidR="00086B58" w:rsidRDefault="00086B58">
      <w:pPr>
        <w:rPr>
          <w:rFonts w:asciiTheme="majorHAnsi" w:eastAsiaTheme="majorEastAsia" w:hAnsiTheme="majorHAnsi" w:cstheme="majorBidi"/>
          <w:color w:val="707070" w:themeColor="accent1" w:themeShade="BF"/>
          <w:sz w:val="36"/>
          <w:szCs w:val="36"/>
        </w:rPr>
      </w:pPr>
      <w:r>
        <w:br w:type="page"/>
      </w:r>
    </w:p>
    <w:p w14:paraId="240C2785" w14:textId="1E122AB1" w:rsidR="001C2DFC" w:rsidRPr="00086B58" w:rsidRDefault="00086B58" w:rsidP="00086B58">
      <w:pPr>
        <w:pStyle w:val="Heading1"/>
        <w:ind w:left="-900"/>
        <w:jc w:val="center"/>
        <w:rPr>
          <w:b/>
          <w:bCs/>
        </w:rPr>
      </w:pPr>
      <w:r>
        <w:rPr>
          <w:b/>
          <w:bCs/>
        </w:rPr>
        <w:lastRenderedPageBreak/>
        <w:t xml:space="preserve">Family Engagement Area #2: </w:t>
      </w:r>
      <w:r w:rsidR="001C2DFC" w:rsidRPr="00086B58">
        <w:rPr>
          <w:b/>
          <w:bCs/>
        </w:rPr>
        <w:t>Learning At-Home</w:t>
      </w:r>
    </w:p>
    <w:tbl>
      <w:tblPr>
        <w:tblStyle w:val="TableGrid"/>
        <w:tblW w:w="14850" w:type="dxa"/>
        <w:tblInd w:w="-905" w:type="dxa"/>
        <w:tblLook w:val="04A0" w:firstRow="1" w:lastRow="0" w:firstColumn="1" w:lastColumn="0" w:noHBand="0" w:noVBand="1"/>
      </w:tblPr>
      <w:tblGrid>
        <w:gridCol w:w="5040"/>
        <w:gridCol w:w="870"/>
        <w:gridCol w:w="2730"/>
        <w:gridCol w:w="4650"/>
        <w:gridCol w:w="1560"/>
      </w:tblGrid>
      <w:tr w:rsidR="00CD7930" w14:paraId="3A4A6495" w14:textId="32B0EF2F" w:rsidTr="00CD7930">
        <w:trPr>
          <w:cantSplit/>
        </w:trPr>
        <w:tc>
          <w:tcPr>
            <w:tcW w:w="5040" w:type="dxa"/>
            <w:shd w:val="clear" w:color="auto" w:fill="B2B2B2" w:themeFill="accent2"/>
          </w:tcPr>
          <w:p w14:paraId="219BC8CE" w14:textId="27189C66" w:rsidR="00CD7930" w:rsidRDefault="00CD7930" w:rsidP="00086B58">
            <w:pPr>
              <w:pStyle w:val="ListParagraph"/>
              <w:ind w:left="248"/>
            </w:pPr>
            <w:r w:rsidRPr="00A85B68">
              <w:rPr>
                <w:b/>
                <w:bCs/>
              </w:rPr>
              <w:t>Item</w:t>
            </w:r>
          </w:p>
        </w:tc>
        <w:tc>
          <w:tcPr>
            <w:tcW w:w="870" w:type="dxa"/>
            <w:shd w:val="clear" w:color="auto" w:fill="B2B2B2" w:themeFill="accent2"/>
          </w:tcPr>
          <w:p w14:paraId="70733C68" w14:textId="1236D75F" w:rsidR="00CD7930" w:rsidRDefault="00CD7930" w:rsidP="00086B58">
            <w:r>
              <w:rPr>
                <w:b/>
                <w:bCs/>
              </w:rPr>
              <w:t>Rating (0-3)</w:t>
            </w:r>
            <w:r w:rsidRPr="00A85B68">
              <w:rPr>
                <w:b/>
                <w:bCs/>
              </w:rPr>
              <w:t xml:space="preserve"> </w:t>
            </w:r>
          </w:p>
        </w:tc>
        <w:tc>
          <w:tcPr>
            <w:tcW w:w="2730" w:type="dxa"/>
            <w:shd w:val="clear" w:color="auto" w:fill="B2B2B2" w:themeFill="accent2"/>
          </w:tcPr>
          <w:p w14:paraId="0FE15D1E" w14:textId="62F7B89A" w:rsidR="00CD7930" w:rsidRDefault="00CD7930" w:rsidP="00086B58">
            <w:r w:rsidRPr="00A85B68">
              <w:rPr>
                <w:b/>
                <w:bCs/>
              </w:rPr>
              <w:t>Evidence</w:t>
            </w:r>
          </w:p>
        </w:tc>
        <w:tc>
          <w:tcPr>
            <w:tcW w:w="4650" w:type="dxa"/>
            <w:shd w:val="clear" w:color="auto" w:fill="B2B2B2" w:themeFill="accent2"/>
          </w:tcPr>
          <w:p w14:paraId="53BDFAC6" w14:textId="4660723C" w:rsidR="00CD7930" w:rsidRDefault="00CD7930" w:rsidP="00086B58">
            <w:r>
              <w:rPr>
                <w:b/>
                <w:bCs/>
              </w:rPr>
              <w:t>Notes &amp;</w:t>
            </w:r>
            <w:r w:rsidRPr="00A85B68">
              <w:rPr>
                <w:b/>
                <w:bCs/>
              </w:rPr>
              <w:t xml:space="preserve"> Next Steps</w:t>
            </w:r>
          </w:p>
        </w:tc>
        <w:tc>
          <w:tcPr>
            <w:tcW w:w="1560" w:type="dxa"/>
            <w:shd w:val="clear" w:color="auto" w:fill="B2B2B2" w:themeFill="accent2"/>
          </w:tcPr>
          <w:p w14:paraId="48D4AD33" w14:textId="56EF5E50" w:rsidR="00CD7930" w:rsidRDefault="00CD7930" w:rsidP="00086B58">
            <w:pPr>
              <w:rPr>
                <w:b/>
                <w:bCs/>
              </w:rPr>
            </w:pPr>
            <w:r>
              <w:rPr>
                <w:b/>
                <w:bCs/>
              </w:rPr>
              <w:t>Priority this year?</w:t>
            </w:r>
          </w:p>
        </w:tc>
      </w:tr>
      <w:tr w:rsidR="00CD7930" w14:paraId="27B05D13" w14:textId="4DC02B8D" w:rsidTr="00CD7930">
        <w:trPr>
          <w:cantSplit/>
        </w:trPr>
        <w:tc>
          <w:tcPr>
            <w:tcW w:w="5040" w:type="dxa"/>
          </w:tcPr>
          <w:p w14:paraId="6FDFEF24" w14:textId="13D52B4B" w:rsidR="00CD7930" w:rsidRDefault="00CD7930" w:rsidP="00086B58">
            <w:pPr>
              <w:pStyle w:val="ListParagraph"/>
              <w:numPr>
                <w:ilvl w:val="0"/>
                <w:numId w:val="31"/>
              </w:numPr>
              <w:ind w:left="248" w:hanging="270"/>
            </w:pPr>
            <w:r>
              <w:t>Academic and social emotional practices are provided to families for use at home.</w:t>
            </w:r>
          </w:p>
        </w:tc>
        <w:tc>
          <w:tcPr>
            <w:tcW w:w="870" w:type="dxa"/>
          </w:tcPr>
          <w:p w14:paraId="7CE62000" w14:textId="77777777" w:rsidR="00CD7930" w:rsidRDefault="00CD7930" w:rsidP="00D323E3"/>
        </w:tc>
        <w:tc>
          <w:tcPr>
            <w:tcW w:w="2730" w:type="dxa"/>
          </w:tcPr>
          <w:p w14:paraId="23669DCF" w14:textId="77777777" w:rsidR="00CD7930" w:rsidRDefault="00CD7930" w:rsidP="00D323E3"/>
        </w:tc>
        <w:tc>
          <w:tcPr>
            <w:tcW w:w="4650" w:type="dxa"/>
          </w:tcPr>
          <w:p w14:paraId="32C0C0C7" w14:textId="77777777" w:rsidR="00CD7930" w:rsidRDefault="00CD7930" w:rsidP="00D323E3"/>
        </w:tc>
        <w:tc>
          <w:tcPr>
            <w:tcW w:w="1560" w:type="dxa"/>
          </w:tcPr>
          <w:p w14:paraId="6053A466" w14:textId="77777777" w:rsidR="00CD7930" w:rsidRDefault="00CD7930" w:rsidP="00D323E3"/>
        </w:tc>
      </w:tr>
      <w:tr w:rsidR="00CD7930" w14:paraId="4D9156E2" w14:textId="0A7EF9E6" w:rsidTr="00CD7930">
        <w:trPr>
          <w:cantSplit/>
        </w:trPr>
        <w:tc>
          <w:tcPr>
            <w:tcW w:w="5040" w:type="dxa"/>
          </w:tcPr>
          <w:p w14:paraId="73C07B86" w14:textId="6C6F05BE" w:rsidR="00CD7930" w:rsidRDefault="00CD7930" w:rsidP="00086B58">
            <w:pPr>
              <w:pStyle w:val="ListParagraph"/>
              <w:numPr>
                <w:ilvl w:val="0"/>
                <w:numId w:val="31"/>
              </w:numPr>
              <w:ind w:left="248" w:hanging="270"/>
            </w:pPr>
            <w:r w:rsidRPr="0042651B">
              <w:t>In all grades, activities sent home are developmentally appropriate, brief, an extension of content already learned in the classroom, and fit into the daily lives of students and families.</w:t>
            </w:r>
            <w:r>
              <w:t xml:space="preserve"> Especially in early grades activities sent home</w:t>
            </w:r>
            <w:r w:rsidRPr="00B308AD">
              <w:t xml:space="preserve"> are fun for families to do together.</w:t>
            </w:r>
          </w:p>
        </w:tc>
        <w:tc>
          <w:tcPr>
            <w:tcW w:w="870" w:type="dxa"/>
          </w:tcPr>
          <w:p w14:paraId="3A4FBAF7" w14:textId="0D646105" w:rsidR="00CD7930" w:rsidRDefault="00CD7930" w:rsidP="00D323E3"/>
        </w:tc>
        <w:tc>
          <w:tcPr>
            <w:tcW w:w="2730" w:type="dxa"/>
          </w:tcPr>
          <w:p w14:paraId="1FC4762A" w14:textId="77777777" w:rsidR="00CD7930" w:rsidRDefault="00CD7930" w:rsidP="00D323E3"/>
        </w:tc>
        <w:tc>
          <w:tcPr>
            <w:tcW w:w="4650" w:type="dxa"/>
          </w:tcPr>
          <w:p w14:paraId="4EF5FA54" w14:textId="77777777" w:rsidR="00CD7930" w:rsidRDefault="00CD7930" w:rsidP="00D323E3"/>
        </w:tc>
        <w:tc>
          <w:tcPr>
            <w:tcW w:w="1560" w:type="dxa"/>
          </w:tcPr>
          <w:p w14:paraId="44459EAF" w14:textId="77777777" w:rsidR="00CD7930" w:rsidRDefault="00CD7930" w:rsidP="00D323E3"/>
        </w:tc>
      </w:tr>
      <w:tr w:rsidR="00CD7930" w14:paraId="4B528D46" w14:textId="1BC9F81C" w:rsidTr="00CD7930">
        <w:trPr>
          <w:cantSplit/>
        </w:trPr>
        <w:tc>
          <w:tcPr>
            <w:tcW w:w="5040" w:type="dxa"/>
          </w:tcPr>
          <w:p w14:paraId="155A0876" w14:textId="2BD2A146" w:rsidR="00CD7930" w:rsidRDefault="00CD7930" w:rsidP="00632FE9">
            <w:pPr>
              <w:pStyle w:val="ListParagraph"/>
              <w:numPr>
                <w:ilvl w:val="0"/>
                <w:numId w:val="31"/>
              </w:numPr>
              <w:ind w:left="248" w:hanging="270"/>
            </w:pPr>
            <w:r w:rsidRPr="001127AE">
              <w:t xml:space="preserve">The school works to ensure that each </w:t>
            </w:r>
            <w:r>
              <w:t>student</w:t>
            </w:r>
            <w:r w:rsidRPr="001127AE">
              <w:t xml:space="preserve"> has access to books, writing supplies, and other resources at home to support the</w:t>
            </w:r>
            <w:r>
              <w:t>ir</w:t>
            </w:r>
            <w:r w:rsidRPr="001127AE">
              <w:t xml:space="preserve"> practice and to encourage routine activities in everyday life. </w:t>
            </w:r>
          </w:p>
        </w:tc>
        <w:tc>
          <w:tcPr>
            <w:tcW w:w="870" w:type="dxa"/>
          </w:tcPr>
          <w:p w14:paraId="3A0343AD" w14:textId="6D9971FC" w:rsidR="00CD7930" w:rsidRDefault="00CD7930" w:rsidP="00D323E3"/>
        </w:tc>
        <w:tc>
          <w:tcPr>
            <w:tcW w:w="2730" w:type="dxa"/>
          </w:tcPr>
          <w:p w14:paraId="2A480F27" w14:textId="77777777" w:rsidR="00CD7930" w:rsidRDefault="00CD7930" w:rsidP="00D323E3"/>
        </w:tc>
        <w:tc>
          <w:tcPr>
            <w:tcW w:w="4650" w:type="dxa"/>
          </w:tcPr>
          <w:p w14:paraId="297A13B3" w14:textId="77777777" w:rsidR="00CD7930" w:rsidRDefault="00CD7930" w:rsidP="00D323E3"/>
        </w:tc>
        <w:tc>
          <w:tcPr>
            <w:tcW w:w="1560" w:type="dxa"/>
          </w:tcPr>
          <w:p w14:paraId="2E400897" w14:textId="77777777" w:rsidR="00CD7930" w:rsidRDefault="00CD7930" w:rsidP="00D323E3"/>
        </w:tc>
      </w:tr>
      <w:tr w:rsidR="00CD7930" w14:paraId="69345050" w14:textId="74EE9D71" w:rsidTr="00CD7930">
        <w:trPr>
          <w:cantSplit/>
        </w:trPr>
        <w:tc>
          <w:tcPr>
            <w:tcW w:w="5040" w:type="dxa"/>
          </w:tcPr>
          <w:p w14:paraId="512E6A6B" w14:textId="69692263" w:rsidR="00CD7930" w:rsidRDefault="00CD7930" w:rsidP="00086B58">
            <w:pPr>
              <w:pStyle w:val="ListParagraph"/>
              <w:numPr>
                <w:ilvl w:val="0"/>
                <w:numId w:val="31"/>
              </w:numPr>
              <w:ind w:left="248" w:hanging="270"/>
            </w:pPr>
            <w:r w:rsidRPr="001127AE">
              <w:t>When a</w:t>
            </w:r>
            <w:r>
              <w:t>ny</w:t>
            </w:r>
            <w:r w:rsidRPr="001127AE">
              <w:t xml:space="preserve"> </w:t>
            </w:r>
            <w:r>
              <w:t>student</w:t>
            </w:r>
            <w:r w:rsidRPr="001127AE">
              <w:t xml:space="preserve"> needs a little extra help, families are provided with ideas for how to support </w:t>
            </w:r>
            <w:r>
              <w:t>academic and social emotional development</w:t>
            </w:r>
            <w:r w:rsidRPr="001127AE">
              <w:t xml:space="preserve"> at home in conjunction with the school’s plan for the </w:t>
            </w:r>
            <w:r>
              <w:t>student</w:t>
            </w:r>
            <w:r w:rsidRPr="001127AE">
              <w:t>. Families take part in developing and providing feedback about the plan as they try new strategies at home. (Schools often call this “Tier II supports.”)</w:t>
            </w:r>
          </w:p>
        </w:tc>
        <w:tc>
          <w:tcPr>
            <w:tcW w:w="870" w:type="dxa"/>
          </w:tcPr>
          <w:p w14:paraId="7CB5757E" w14:textId="261D996B" w:rsidR="00CD7930" w:rsidRDefault="00CD7930" w:rsidP="00D323E3"/>
        </w:tc>
        <w:tc>
          <w:tcPr>
            <w:tcW w:w="2730" w:type="dxa"/>
          </w:tcPr>
          <w:p w14:paraId="58694ED2" w14:textId="77777777" w:rsidR="00CD7930" w:rsidRDefault="00CD7930" w:rsidP="00D323E3"/>
        </w:tc>
        <w:tc>
          <w:tcPr>
            <w:tcW w:w="4650" w:type="dxa"/>
          </w:tcPr>
          <w:p w14:paraId="5B01A56E" w14:textId="77777777" w:rsidR="00CD7930" w:rsidRDefault="00CD7930" w:rsidP="00D323E3"/>
        </w:tc>
        <w:tc>
          <w:tcPr>
            <w:tcW w:w="1560" w:type="dxa"/>
          </w:tcPr>
          <w:p w14:paraId="011B0119" w14:textId="77777777" w:rsidR="00CD7930" w:rsidRDefault="00CD7930" w:rsidP="00D323E3"/>
        </w:tc>
      </w:tr>
      <w:tr w:rsidR="00CD7930" w14:paraId="36237E68" w14:textId="0AAD4A30" w:rsidTr="00CD7930">
        <w:trPr>
          <w:cantSplit/>
        </w:trPr>
        <w:tc>
          <w:tcPr>
            <w:tcW w:w="5040" w:type="dxa"/>
          </w:tcPr>
          <w:p w14:paraId="159AA8B3" w14:textId="19A350AB" w:rsidR="00CD7930" w:rsidRDefault="00CD7930" w:rsidP="00086B58">
            <w:pPr>
              <w:pStyle w:val="ListParagraph"/>
              <w:numPr>
                <w:ilvl w:val="0"/>
                <w:numId w:val="31"/>
              </w:numPr>
              <w:ind w:left="248" w:hanging="270"/>
            </w:pPr>
            <w:r w:rsidRPr="001127AE">
              <w:t>When a</w:t>
            </w:r>
            <w:r>
              <w:t>ny</w:t>
            </w:r>
            <w:r w:rsidRPr="001127AE">
              <w:t xml:space="preserve"> </w:t>
            </w:r>
            <w:r>
              <w:t>student</w:t>
            </w:r>
            <w:r w:rsidRPr="001127AE">
              <w:t xml:space="preserve"> </w:t>
            </w:r>
            <w:r>
              <w:t>needs individualized learning or behavioral supports</w:t>
            </w:r>
            <w:r w:rsidRPr="001127AE">
              <w:t xml:space="preserve">, families are provided with ideas for how to support </w:t>
            </w:r>
            <w:r>
              <w:t>academic and social emotional development</w:t>
            </w:r>
            <w:r w:rsidRPr="001127AE">
              <w:t xml:space="preserve"> at home in conjunction with the school’s plan for the </w:t>
            </w:r>
            <w:r>
              <w:t>student</w:t>
            </w:r>
            <w:r w:rsidRPr="001127AE">
              <w:t>. Families take part in developing and providing feedback about the plan as they try new strategies at home. (Schools often call this “Tier III supports.”)</w:t>
            </w:r>
          </w:p>
        </w:tc>
        <w:tc>
          <w:tcPr>
            <w:tcW w:w="870" w:type="dxa"/>
          </w:tcPr>
          <w:p w14:paraId="6946A115" w14:textId="2A4ACAFA" w:rsidR="00CD7930" w:rsidRDefault="00CD7930" w:rsidP="00D323E3"/>
        </w:tc>
        <w:tc>
          <w:tcPr>
            <w:tcW w:w="2730" w:type="dxa"/>
          </w:tcPr>
          <w:p w14:paraId="559E9C76" w14:textId="77777777" w:rsidR="00CD7930" w:rsidRDefault="00CD7930" w:rsidP="00D323E3"/>
        </w:tc>
        <w:tc>
          <w:tcPr>
            <w:tcW w:w="4650" w:type="dxa"/>
          </w:tcPr>
          <w:p w14:paraId="40E5420B" w14:textId="77777777" w:rsidR="00CD7930" w:rsidRDefault="00CD7930" w:rsidP="00D323E3"/>
        </w:tc>
        <w:tc>
          <w:tcPr>
            <w:tcW w:w="1560" w:type="dxa"/>
          </w:tcPr>
          <w:p w14:paraId="3503C6C4" w14:textId="77777777" w:rsidR="00CD7930" w:rsidRDefault="00CD7930" w:rsidP="00D323E3"/>
        </w:tc>
      </w:tr>
      <w:tr w:rsidR="00CD7930" w14:paraId="64ECF5B7" w14:textId="36EC4DD7" w:rsidTr="00CD7930">
        <w:trPr>
          <w:cantSplit/>
        </w:trPr>
        <w:tc>
          <w:tcPr>
            <w:tcW w:w="5040" w:type="dxa"/>
          </w:tcPr>
          <w:p w14:paraId="7E386946" w14:textId="0FF548DF" w:rsidR="00CD7930" w:rsidRPr="001127AE" w:rsidRDefault="00CD7930" w:rsidP="00086B58">
            <w:pPr>
              <w:pStyle w:val="ListParagraph"/>
              <w:numPr>
                <w:ilvl w:val="0"/>
                <w:numId w:val="31"/>
              </w:numPr>
              <w:ind w:left="248" w:hanging="270"/>
            </w:pPr>
            <w:r w:rsidRPr="001127AE">
              <w:t xml:space="preserve">Families learning English are encouraged to speak/read </w:t>
            </w:r>
            <w:r>
              <w:t xml:space="preserve">or participate </w:t>
            </w:r>
            <w:r w:rsidRPr="001127AE">
              <w:t>in their home language.</w:t>
            </w:r>
          </w:p>
          <w:p w14:paraId="37ADBCD8" w14:textId="77777777" w:rsidR="00CD7930" w:rsidRDefault="00CD7930" w:rsidP="00086B58">
            <w:pPr>
              <w:ind w:left="248" w:hanging="270"/>
            </w:pPr>
          </w:p>
        </w:tc>
        <w:tc>
          <w:tcPr>
            <w:tcW w:w="870" w:type="dxa"/>
          </w:tcPr>
          <w:p w14:paraId="1F327147" w14:textId="10D82C3E" w:rsidR="00CD7930" w:rsidRDefault="00CD7930" w:rsidP="00D323E3"/>
        </w:tc>
        <w:tc>
          <w:tcPr>
            <w:tcW w:w="2730" w:type="dxa"/>
          </w:tcPr>
          <w:p w14:paraId="6D307D38" w14:textId="77777777" w:rsidR="00CD7930" w:rsidRDefault="00CD7930" w:rsidP="00D323E3"/>
        </w:tc>
        <w:tc>
          <w:tcPr>
            <w:tcW w:w="4650" w:type="dxa"/>
          </w:tcPr>
          <w:p w14:paraId="7840B1AB" w14:textId="77777777" w:rsidR="00CD7930" w:rsidRDefault="00CD7930" w:rsidP="00D323E3"/>
        </w:tc>
        <w:tc>
          <w:tcPr>
            <w:tcW w:w="1560" w:type="dxa"/>
          </w:tcPr>
          <w:p w14:paraId="22730ADF" w14:textId="77777777" w:rsidR="00CD7930" w:rsidRDefault="00CD7930" w:rsidP="00D323E3"/>
        </w:tc>
      </w:tr>
      <w:tr w:rsidR="00CD7930" w14:paraId="525106F7" w14:textId="3D233220" w:rsidTr="00CD7930">
        <w:trPr>
          <w:cantSplit/>
        </w:trPr>
        <w:tc>
          <w:tcPr>
            <w:tcW w:w="5040" w:type="dxa"/>
          </w:tcPr>
          <w:p w14:paraId="0F8C080B" w14:textId="386F893E" w:rsidR="00CD7930" w:rsidRPr="001127AE" w:rsidRDefault="00CD7930" w:rsidP="00086B58">
            <w:pPr>
              <w:pStyle w:val="ListParagraph"/>
              <w:numPr>
                <w:ilvl w:val="0"/>
                <w:numId w:val="31"/>
              </w:numPr>
              <w:ind w:left="248" w:hanging="270"/>
            </w:pPr>
            <w:r w:rsidRPr="001C2DFC">
              <w:t xml:space="preserve">We regularly examine patterns of inequity in </w:t>
            </w:r>
            <w:r>
              <w:t xml:space="preserve">resources and activities that enable learning at home </w:t>
            </w:r>
            <w:r w:rsidRPr="001C2DFC">
              <w:t>with families and intentionally take action to eliminate those inequities.</w:t>
            </w:r>
          </w:p>
        </w:tc>
        <w:tc>
          <w:tcPr>
            <w:tcW w:w="870" w:type="dxa"/>
          </w:tcPr>
          <w:p w14:paraId="0A1D51BC" w14:textId="77777777" w:rsidR="00CD7930" w:rsidRDefault="00CD7930" w:rsidP="00D323E3"/>
        </w:tc>
        <w:tc>
          <w:tcPr>
            <w:tcW w:w="2730" w:type="dxa"/>
          </w:tcPr>
          <w:p w14:paraId="21D55491" w14:textId="77777777" w:rsidR="00CD7930" w:rsidRDefault="00CD7930" w:rsidP="00D323E3"/>
        </w:tc>
        <w:tc>
          <w:tcPr>
            <w:tcW w:w="4650" w:type="dxa"/>
          </w:tcPr>
          <w:p w14:paraId="101A0C28" w14:textId="77777777" w:rsidR="00CD7930" w:rsidRDefault="00CD7930" w:rsidP="00D323E3"/>
        </w:tc>
        <w:tc>
          <w:tcPr>
            <w:tcW w:w="1560" w:type="dxa"/>
          </w:tcPr>
          <w:p w14:paraId="0A46C4E7" w14:textId="77777777" w:rsidR="00CD7930" w:rsidRDefault="00CD7930" w:rsidP="00D323E3"/>
        </w:tc>
      </w:tr>
    </w:tbl>
    <w:p w14:paraId="1068622C" w14:textId="0F8AEB15" w:rsidR="001C2DFC" w:rsidRDefault="001C2DFC"/>
    <w:p w14:paraId="5F6947D7" w14:textId="2F615AD6" w:rsidR="001C2DFC" w:rsidRPr="006321CC" w:rsidRDefault="006321CC" w:rsidP="006321CC">
      <w:pPr>
        <w:pStyle w:val="Heading1"/>
        <w:jc w:val="center"/>
        <w:rPr>
          <w:b/>
          <w:bCs/>
        </w:rPr>
      </w:pPr>
      <w:r>
        <w:rPr>
          <w:b/>
          <w:bCs/>
        </w:rPr>
        <w:lastRenderedPageBreak/>
        <w:t xml:space="preserve">Family Engagement Area #3: </w:t>
      </w:r>
      <w:r w:rsidR="001C2DFC" w:rsidRPr="006321CC">
        <w:rPr>
          <w:b/>
          <w:bCs/>
        </w:rPr>
        <w:t>Community Partnerships</w:t>
      </w:r>
    </w:p>
    <w:tbl>
      <w:tblPr>
        <w:tblStyle w:val="TableGrid"/>
        <w:tblW w:w="14850" w:type="dxa"/>
        <w:tblInd w:w="-905" w:type="dxa"/>
        <w:tblLook w:val="04A0" w:firstRow="1" w:lastRow="0" w:firstColumn="1" w:lastColumn="0" w:noHBand="0" w:noVBand="1"/>
      </w:tblPr>
      <w:tblGrid>
        <w:gridCol w:w="5040"/>
        <w:gridCol w:w="870"/>
        <w:gridCol w:w="2820"/>
        <w:gridCol w:w="4590"/>
        <w:gridCol w:w="1530"/>
      </w:tblGrid>
      <w:tr w:rsidR="00CD7930" w14:paraId="7AB44A1A" w14:textId="4B6394D3" w:rsidTr="00C47A1D">
        <w:trPr>
          <w:cantSplit/>
        </w:trPr>
        <w:tc>
          <w:tcPr>
            <w:tcW w:w="5040" w:type="dxa"/>
            <w:shd w:val="clear" w:color="auto" w:fill="B2B2B2" w:themeFill="accent2"/>
          </w:tcPr>
          <w:p w14:paraId="2207AD58" w14:textId="4C633A1A" w:rsidR="00CD7930" w:rsidRDefault="00CD7930" w:rsidP="006321CC">
            <w:pPr>
              <w:pStyle w:val="ListParagraph"/>
              <w:ind w:left="248"/>
            </w:pPr>
            <w:r w:rsidRPr="00A85B68">
              <w:rPr>
                <w:b/>
                <w:bCs/>
              </w:rPr>
              <w:t>Item</w:t>
            </w:r>
          </w:p>
        </w:tc>
        <w:tc>
          <w:tcPr>
            <w:tcW w:w="870" w:type="dxa"/>
            <w:shd w:val="clear" w:color="auto" w:fill="B2B2B2" w:themeFill="accent2"/>
          </w:tcPr>
          <w:p w14:paraId="1B91D433" w14:textId="15B8CE84" w:rsidR="00CD7930" w:rsidRDefault="00CD7930" w:rsidP="006321CC">
            <w:r>
              <w:rPr>
                <w:b/>
                <w:bCs/>
              </w:rPr>
              <w:t>Rating</w:t>
            </w:r>
            <w:r w:rsidRPr="00A85B68">
              <w:rPr>
                <w:b/>
                <w:bCs/>
              </w:rPr>
              <w:t xml:space="preserve"> </w:t>
            </w:r>
          </w:p>
        </w:tc>
        <w:tc>
          <w:tcPr>
            <w:tcW w:w="2820" w:type="dxa"/>
            <w:shd w:val="clear" w:color="auto" w:fill="B2B2B2" w:themeFill="accent2"/>
          </w:tcPr>
          <w:p w14:paraId="44866A17" w14:textId="6DD75F70" w:rsidR="00CD7930" w:rsidRDefault="00CD7930" w:rsidP="006321CC">
            <w:r w:rsidRPr="00A85B68">
              <w:rPr>
                <w:b/>
                <w:bCs/>
              </w:rPr>
              <w:t>Evidence</w:t>
            </w:r>
          </w:p>
        </w:tc>
        <w:tc>
          <w:tcPr>
            <w:tcW w:w="4590" w:type="dxa"/>
            <w:shd w:val="clear" w:color="auto" w:fill="B2B2B2" w:themeFill="accent2"/>
          </w:tcPr>
          <w:p w14:paraId="73A0CBB8" w14:textId="7DE1379D" w:rsidR="00CD7930" w:rsidRDefault="00CD7930" w:rsidP="006321CC">
            <w:r>
              <w:rPr>
                <w:b/>
                <w:bCs/>
              </w:rPr>
              <w:t>Notes &amp;</w:t>
            </w:r>
            <w:r w:rsidRPr="00A85B68">
              <w:rPr>
                <w:b/>
                <w:bCs/>
              </w:rPr>
              <w:t xml:space="preserve"> Next Steps</w:t>
            </w:r>
          </w:p>
        </w:tc>
        <w:tc>
          <w:tcPr>
            <w:tcW w:w="1530" w:type="dxa"/>
            <w:shd w:val="clear" w:color="auto" w:fill="B2B2B2" w:themeFill="accent2"/>
          </w:tcPr>
          <w:p w14:paraId="465133CD" w14:textId="46AED521" w:rsidR="00CD7930" w:rsidRDefault="00CD7930" w:rsidP="006321CC">
            <w:pPr>
              <w:rPr>
                <w:b/>
                <w:bCs/>
              </w:rPr>
            </w:pPr>
            <w:r>
              <w:rPr>
                <w:b/>
                <w:bCs/>
              </w:rPr>
              <w:t>Priority this year?</w:t>
            </w:r>
          </w:p>
        </w:tc>
      </w:tr>
      <w:tr w:rsidR="00CD7930" w14:paraId="7A0F91A4" w14:textId="724B828A" w:rsidTr="00C47A1D">
        <w:trPr>
          <w:cantSplit/>
        </w:trPr>
        <w:tc>
          <w:tcPr>
            <w:tcW w:w="5040" w:type="dxa"/>
          </w:tcPr>
          <w:p w14:paraId="285E0AEB" w14:textId="5A3267AA" w:rsidR="00CD7930" w:rsidRPr="00280F79" w:rsidRDefault="00CD7930" w:rsidP="006321CC">
            <w:pPr>
              <w:pStyle w:val="ListParagraph"/>
              <w:numPr>
                <w:ilvl w:val="0"/>
                <w:numId w:val="32"/>
              </w:numPr>
              <w:ind w:left="248" w:hanging="248"/>
            </w:pPr>
            <w:r w:rsidRPr="00280F79">
              <w:t>The school has partnerships with public, non-public, and early childhood education programs</w:t>
            </w:r>
            <w:r>
              <w:t xml:space="preserve">, and other education programs </w:t>
            </w:r>
            <w:r w:rsidRPr="00280F79">
              <w:t xml:space="preserve">to promote </w:t>
            </w:r>
            <w:r>
              <w:t>effective transitions to and from our school</w:t>
            </w:r>
            <w:r w:rsidRPr="00280F79">
              <w:t>.</w:t>
            </w:r>
          </w:p>
        </w:tc>
        <w:tc>
          <w:tcPr>
            <w:tcW w:w="870" w:type="dxa"/>
          </w:tcPr>
          <w:p w14:paraId="3AD597DD" w14:textId="77777777" w:rsidR="00CD7930" w:rsidRDefault="00CD7930" w:rsidP="006321CC"/>
        </w:tc>
        <w:tc>
          <w:tcPr>
            <w:tcW w:w="2820" w:type="dxa"/>
          </w:tcPr>
          <w:p w14:paraId="2F2FBF7F" w14:textId="77777777" w:rsidR="00CD7930" w:rsidRDefault="00CD7930" w:rsidP="006321CC"/>
        </w:tc>
        <w:tc>
          <w:tcPr>
            <w:tcW w:w="4590" w:type="dxa"/>
          </w:tcPr>
          <w:p w14:paraId="55D2262E" w14:textId="77777777" w:rsidR="00CD7930" w:rsidRDefault="00CD7930" w:rsidP="006321CC"/>
        </w:tc>
        <w:tc>
          <w:tcPr>
            <w:tcW w:w="1530" w:type="dxa"/>
          </w:tcPr>
          <w:p w14:paraId="55DBCCC3" w14:textId="77777777" w:rsidR="00CD7930" w:rsidRDefault="00CD7930" w:rsidP="006321CC"/>
        </w:tc>
      </w:tr>
      <w:tr w:rsidR="00CD7930" w14:paraId="686B41F2" w14:textId="087114B5" w:rsidTr="00C47A1D">
        <w:trPr>
          <w:cantSplit/>
        </w:trPr>
        <w:tc>
          <w:tcPr>
            <w:tcW w:w="5040" w:type="dxa"/>
          </w:tcPr>
          <w:p w14:paraId="67BEC1B0" w14:textId="658CE4E3" w:rsidR="00CD7930" w:rsidRPr="00280F79" w:rsidRDefault="00CD7930" w:rsidP="006321CC">
            <w:pPr>
              <w:pStyle w:val="ListParagraph"/>
              <w:numPr>
                <w:ilvl w:val="0"/>
                <w:numId w:val="32"/>
              </w:numPr>
              <w:ind w:left="248" w:hanging="248"/>
            </w:pPr>
            <w:r w:rsidRPr="00280F79">
              <w:t xml:space="preserve">The school is a hub for </w:t>
            </w:r>
            <w:r>
              <w:t>student and family supports</w:t>
            </w:r>
            <w:r w:rsidRPr="00280F79">
              <w:t xml:space="preserve"> and </w:t>
            </w:r>
            <w:r>
              <w:t xml:space="preserve">establishes </w:t>
            </w:r>
            <w:r w:rsidRPr="00280F79">
              <w:t xml:space="preserve">partnerships </w:t>
            </w:r>
            <w:r>
              <w:t>that provide</w:t>
            </w:r>
            <w:r w:rsidRPr="00280F79">
              <w:t xml:space="preserve"> community resources </w:t>
            </w:r>
            <w:r>
              <w:t>to</w:t>
            </w:r>
            <w:r w:rsidRPr="00280F79">
              <w:t xml:space="preserve"> support shared </w:t>
            </w:r>
            <w:r>
              <w:t>academic and social emotional expectations between home, school, and the community</w:t>
            </w:r>
            <w:r w:rsidRPr="00280F79">
              <w:t xml:space="preserve"> (e.g., afterschool programs, mentoring programs, English Language classes for families, summer programs, library, YMCA, churches, etc.).</w:t>
            </w:r>
          </w:p>
        </w:tc>
        <w:tc>
          <w:tcPr>
            <w:tcW w:w="870" w:type="dxa"/>
          </w:tcPr>
          <w:p w14:paraId="1C1978F2" w14:textId="4C86D8B7" w:rsidR="00CD7930" w:rsidRDefault="00CD7930" w:rsidP="006321CC"/>
        </w:tc>
        <w:tc>
          <w:tcPr>
            <w:tcW w:w="2820" w:type="dxa"/>
          </w:tcPr>
          <w:p w14:paraId="1841A6FF" w14:textId="77777777" w:rsidR="00CD7930" w:rsidRDefault="00CD7930" w:rsidP="006321CC"/>
        </w:tc>
        <w:tc>
          <w:tcPr>
            <w:tcW w:w="4590" w:type="dxa"/>
          </w:tcPr>
          <w:p w14:paraId="29B03844" w14:textId="77777777" w:rsidR="00CD7930" w:rsidRDefault="00CD7930" w:rsidP="006321CC"/>
        </w:tc>
        <w:tc>
          <w:tcPr>
            <w:tcW w:w="1530" w:type="dxa"/>
          </w:tcPr>
          <w:p w14:paraId="75340F0F" w14:textId="77777777" w:rsidR="00CD7930" w:rsidRDefault="00CD7930" w:rsidP="006321CC"/>
        </w:tc>
      </w:tr>
      <w:tr w:rsidR="00CD7930" w14:paraId="4BB445A8" w14:textId="547D8185" w:rsidTr="00C47A1D">
        <w:trPr>
          <w:cantSplit/>
        </w:trPr>
        <w:tc>
          <w:tcPr>
            <w:tcW w:w="5040" w:type="dxa"/>
          </w:tcPr>
          <w:p w14:paraId="6A71C48E" w14:textId="20336475" w:rsidR="00CD7930" w:rsidRPr="00280F79" w:rsidRDefault="00CD7930" w:rsidP="006321CC">
            <w:pPr>
              <w:pStyle w:val="ListParagraph"/>
              <w:numPr>
                <w:ilvl w:val="0"/>
                <w:numId w:val="32"/>
              </w:numPr>
              <w:ind w:left="248" w:hanging="248"/>
            </w:pPr>
            <w:r>
              <w:t>We plan in</w:t>
            </w:r>
            <w:r w:rsidR="00BE23A1">
              <w:t>-</w:t>
            </w:r>
            <w:r>
              <w:t xml:space="preserve">person events to be accessible and engaging for all families and have a plan to follow up with those who cannot attend. </w:t>
            </w:r>
          </w:p>
        </w:tc>
        <w:tc>
          <w:tcPr>
            <w:tcW w:w="870" w:type="dxa"/>
          </w:tcPr>
          <w:p w14:paraId="55E5B775" w14:textId="77777777" w:rsidR="00CD7930" w:rsidRDefault="00CD7930" w:rsidP="006321CC"/>
        </w:tc>
        <w:tc>
          <w:tcPr>
            <w:tcW w:w="2820" w:type="dxa"/>
          </w:tcPr>
          <w:p w14:paraId="68BBDE3D" w14:textId="77777777" w:rsidR="00CD7930" w:rsidRDefault="00CD7930" w:rsidP="006321CC"/>
        </w:tc>
        <w:tc>
          <w:tcPr>
            <w:tcW w:w="4590" w:type="dxa"/>
          </w:tcPr>
          <w:p w14:paraId="0A49C918" w14:textId="77777777" w:rsidR="00CD7930" w:rsidRDefault="00CD7930" w:rsidP="006321CC"/>
        </w:tc>
        <w:tc>
          <w:tcPr>
            <w:tcW w:w="1530" w:type="dxa"/>
          </w:tcPr>
          <w:p w14:paraId="6DDEB989" w14:textId="77777777" w:rsidR="00CD7930" w:rsidRDefault="00CD7930" w:rsidP="006321CC"/>
        </w:tc>
      </w:tr>
      <w:tr w:rsidR="00CD7930" w14:paraId="2ED21D65" w14:textId="6DA0AC46" w:rsidTr="00C47A1D">
        <w:trPr>
          <w:cantSplit/>
        </w:trPr>
        <w:tc>
          <w:tcPr>
            <w:tcW w:w="5040" w:type="dxa"/>
          </w:tcPr>
          <w:p w14:paraId="68B7601F" w14:textId="4DCEBA10" w:rsidR="00CD7930" w:rsidRPr="00280F79" w:rsidRDefault="00CD7930" w:rsidP="006321CC">
            <w:pPr>
              <w:pStyle w:val="ListParagraph"/>
              <w:numPr>
                <w:ilvl w:val="0"/>
                <w:numId w:val="32"/>
              </w:numPr>
              <w:ind w:left="248" w:hanging="248"/>
            </w:pPr>
            <w:r w:rsidRPr="00280F79">
              <w:t xml:space="preserve">Community partners build awareness and support for </w:t>
            </w:r>
            <w:r>
              <w:t>academic and social emotional expectations</w:t>
            </w:r>
            <w:r w:rsidRPr="00280F79">
              <w:t xml:space="preserve"> in the community</w:t>
            </w:r>
            <w:r>
              <w:t>.</w:t>
            </w:r>
          </w:p>
        </w:tc>
        <w:tc>
          <w:tcPr>
            <w:tcW w:w="870" w:type="dxa"/>
          </w:tcPr>
          <w:p w14:paraId="5DEF616C" w14:textId="3EFA5B83" w:rsidR="00CD7930" w:rsidRDefault="00CD7930" w:rsidP="006321CC"/>
        </w:tc>
        <w:tc>
          <w:tcPr>
            <w:tcW w:w="2820" w:type="dxa"/>
          </w:tcPr>
          <w:p w14:paraId="4379561C" w14:textId="77777777" w:rsidR="00CD7930" w:rsidRDefault="00CD7930" w:rsidP="006321CC"/>
        </w:tc>
        <w:tc>
          <w:tcPr>
            <w:tcW w:w="4590" w:type="dxa"/>
          </w:tcPr>
          <w:p w14:paraId="20E93CE7" w14:textId="77777777" w:rsidR="00CD7930" w:rsidRDefault="00CD7930" w:rsidP="006321CC"/>
        </w:tc>
        <w:tc>
          <w:tcPr>
            <w:tcW w:w="1530" w:type="dxa"/>
          </w:tcPr>
          <w:p w14:paraId="47FDE481" w14:textId="77777777" w:rsidR="00CD7930" w:rsidRDefault="00CD7930" w:rsidP="006321CC"/>
        </w:tc>
      </w:tr>
      <w:tr w:rsidR="00CD7930" w14:paraId="055C1BC2" w14:textId="4DE5BC79" w:rsidTr="00C47A1D">
        <w:trPr>
          <w:cantSplit/>
        </w:trPr>
        <w:tc>
          <w:tcPr>
            <w:tcW w:w="5040" w:type="dxa"/>
          </w:tcPr>
          <w:p w14:paraId="3B8EE1E3" w14:textId="79181C8B" w:rsidR="00CD7930" w:rsidRPr="00280F79" w:rsidRDefault="00CD7930" w:rsidP="006321CC">
            <w:pPr>
              <w:pStyle w:val="ListParagraph"/>
              <w:numPr>
                <w:ilvl w:val="0"/>
                <w:numId w:val="32"/>
              </w:numPr>
              <w:ind w:left="248" w:hanging="248"/>
            </w:pPr>
            <w:r>
              <w:t xml:space="preserve">We offer families and community members a range of options for contributing their cultural perspectives and expertise to benefit the school community </w:t>
            </w:r>
            <w:r w:rsidRPr="00280F79">
              <w:t xml:space="preserve">to support </w:t>
            </w:r>
            <w:r>
              <w:t>student</w:t>
            </w:r>
            <w:r w:rsidRPr="00280F79">
              <w:t xml:space="preserve"> development.</w:t>
            </w:r>
          </w:p>
        </w:tc>
        <w:tc>
          <w:tcPr>
            <w:tcW w:w="870" w:type="dxa"/>
          </w:tcPr>
          <w:p w14:paraId="737C8679" w14:textId="75316C87" w:rsidR="00CD7930" w:rsidRDefault="00CD7930" w:rsidP="006321CC"/>
        </w:tc>
        <w:tc>
          <w:tcPr>
            <w:tcW w:w="2820" w:type="dxa"/>
          </w:tcPr>
          <w:p w14:paraId="0B3FB4F7" w14:textId="77777777" w:rsidR="00CD7930" w:rsidRDefault="00CD7930" w:rsidP="006321CC"/>
        </w:tc>
        <w:tc>
          <w:tcPr>
            <w:tcW w:w="4590" w:type="dxa"/>
          </w:tcPr>
          <w:p w14:paraId="260E1583" w14:textId="77777777" w:rsidR="00CD7930" w:rsidRDefault="00CD7930" w:rsidP="006321CC"/>
        </w:tc>
        <w:tc>
          <w:tcPr>
            <w:tcW w:w="1530" w:type="dxa"/>
          </w:tcPr>
          <w:p w14:paraId="017C5C1B" w14:textId="77777777" w:rsidR="00CD7930" w:rsidRDefault="00CD7930" w:rsidP="006321CC"/>
        </w:tc>
      </w:tr>
      <w:tr w:rsidR="00CD7930" w14:paraId="7DAA117C" w14:textId="309EF509" w:rsidTr="00C47A1D">
        <w:trPr>
          <w:cantSplit/>
        </w:trPr>
        <w:tc>
          <w:tcPr>
            <w:tcW w:w="5040" w:type="dxa"/>
          </w:tcPr>
          <w:p w14:paraId="7B0B6B7D" w14:textId="4308F5CD" w:rsidR="00CD7930" w:rsidRDefault="00CD7930" w:rsidP="006321CC">
            <w:pPr>
              <w:pStyle w:val="ListParagraph"/>
              <w:numPr>
                <w:ilvl w:val="0"/>
                <w:numId w:val="32"/>
              </w:numPr>
              <w:ind w:left="248" w:hanging="248"/>
            </w:pPr>
            <w:r w:rsidRPr="001C2DFC">
              <w:t xml:space="preserve">We regularly examine patterns of inequity </w:t>
            </w:r>
            <w:r>
              <w:t>that impact access to our partners and their services</w:t>
            </w:r>
            <w:r w:rsidRPr="001C2DFC">
              <w:t xml:space="preserve"> and intentionally take action to eliminate those inequities.</w:t>
            </w:r>
          </w:p>
        </w:tc>
        <w:tc>
          <w:tcPr>
            <w:tcW w:w="870" w:type="dxa"/>
          </w:tcPr>
          <w:p w14:paraId="00278915" w14:textId="77777777" w:rsidR="00CD7930" w:rsidRDefault="00CD7930" w:rsidP="006321CC"/>
        </w:tc>
        <w:tc>
          <w:tcPr>
            <w:tcW w:w="2820" w:type="dxa"/>
          </w:tcPr>
          <w:p w14:paraId="07C2A90C" w14:textId="77777777" w:rsidR="00CD7930" w:rsidRDefault="00CD7930" w:rsidP="006321CC"/>
        </w:tc>
        <w:tc>
          <w:tcPr>
            <w:tcW w:w="4590" w:type="dxa"/>
          </w:tcPr>
          <w:p w14:paraId="51DBF099" w14:textId="77777777" w:rsidR="00CD7930" w:rsidRDefault="00CD7930" w:rsidP="006321CC"/>
        </w:tc>
        <w:tc>
          <w:tcPr>
            <w:tcW w:w="1530" w:type="dxa"/>
          </w:tcPr>
          <w:p w14:paraId="5D2B3964" w14:textId="77777777" w:rsidR="00CD7930" w:rsidRDefault="00CD7930" w:rsidP="006321CC"/>
        </w:tc>
      </w:tr>
    </w:tbl>
    <w:p w14:paraId="1B3CB226" w14:textId="77777777" w:rsidR="00BF47AE" w:rsidRDefault="00BF47AE" w:rsidP="00D323E3">
      <w:pPr>
        <w:sectPr w:rsidR="00BF47AE" w:rsidSect="00086B58">
          <w:pgSz w:w="15840" w:h="12240" w:orient="landscape"/>
          <w:pgMar w:top="990" w:right="1440" w:bottom="1440" w:left="1440" w:header="720" w:footer="720" w:gutter="0"/>
          <w:cols w:space="720"/>
          <w:docGrid w:linePitch="360"/>
        </w:sectPr>
      </w:pPr>
    </w:p>
    <w:p w14:paraId="5E329D5C" w14:textId="300BF417" w:rsidR="00BF47AE" w:rsidRPr="006321CC" w:rsidRDefault="00BF47AE" w:rsidP="006321CC">
      <w:pPr>
        <w:pStyle w:val="Heading1"/>
        <w:spacing w:before="0"/>
        <w:rPr>
          <w:b/>
          <w:bCs/>
        </w:rPr>
      </w:pPr>
      <w:r w:rsidRPr="006321CC">
        <w:rPr>
          <w:b/>
          <w:bCs/>
        </w:rPr>
        <w:lastRenderedPageBreak/>
        <w:t>Appendix A: Protocols</w:t>
      </w:r>
      <w:r w:rsidR="006321CC" w:rsidRPr="006321CC">
        <w:rPr>
          <w:b/>
          <w:bCs/>
        </w:rPr>
        <w:t xml:space="preserve"> for Team Discussion</w:t>
      </w:r>
    </w:p>
    <w:p w14:paraId="64EF0826" w14:textId="72FCA946" w:rsidR="00BF47AE" w:rsidRPr="00C7088E" w:rsidRDefault="00BF47AE" w:rsidP="00BF47AE">
      <w:pPr>
        <w:rPr>
          <w:color w:val="000000" w:themeColor="text2"/>
        </w:rPr>
      </w:pPr>
      <w:r>
        <w:t xml:space="preserve">Why use </w:t>
      </w:r>
      <w:r w:rsidR="006321CC">
        <w:t>a protocol to complete the Needs Assessment</w:t>
      </w:r>
      <w:r>
        <w:t xml:space="preserve"> with your team?</w:t>
      </w:r>
      <w:r w:rsidR="006321CC">
        <w:t xml:space="preserve"> </w:t>
      </w:r>
      <w:r w:rsidR="00C7088E">
        <w:rPr>
          <w:color w:val="000000" w:themeColor="text2"/>
        </w:rPr>
        <w:t>Protocols encourage equitable participation by providing structures that give each team member a meaningful role and an opportunity to share ideas and feedback.</w:t>
      </w:r>
    </w:p>
    <w:p w14:paraId="3CBD5988" w14:textId="108F359A" w:rsidR="00BF47AE" w:rsidRPr="00C7088E" w:rsidRDefault="006321CC" w:rsidP="00BF47AE">
      <w:pPr>
        <w:rPr>
          <w:color w:val="000000" w:themeColor="text2"/>
        </w:rPr>
      </w:pPr>
      <w:r>
        <w:t xml:space="preserve">Type 1: </w:t>
      </w:r>
      <w:r w:rsidR="00BF47AE">
        <w:t>Opening/brainstorming:</w:t>
      </w:r>
      <w:r w:rsidR="00C7088E">
        <w:t xml:space="preserve"> </w:t>
      </w:r>
      <w:r w:rsidR="00C7088E">
        <w:rPr>
          <w:color w:val="000000" w:themeColor="text2"/>
        </w:rPr>
        <w:t xml:space="preserve">Use these protocols </w:t>
      </w:r>
      <w:r w:rsidR="00F00F8C">
        <w:rPr>
          <w:color w:val="000000" w:themeColor="text2"/>
        </w:rPr>
        <w:t xml:space="preserve">for warming up for the Needs Assessment Process. </w:t>
      </w:r>
    </w:p>
    <w:tbl>
      <w:tblPr>
        <w:tblStyle w:val="TableGrid"/>
        <w:tblW w:w="0" w:type="auto"/>
        <w:tblInd w:w="360" w:type="dxa"/>
        <w:tblLook w:val="04A0" w:firstRow="1" w:lastRow="0" w:firstColumn="1" w:lastColumn="0" w:noHBand="0" w:noVBand="1"/>
      </w:tblPr>
      <w:tblGrid>
        <w:gridCol w:w="2425"/>
        <w:gridCol w:w="6565"/>
      </w:tblGrid>
      <w:tr w:rsidR="00F00F8C" w:rsidRPr="00F00F8C" w14:paraId="4E907B66" w14:textId="7D8C707A" w:rsidTr="00303139">
        <w:tc>
          <w:tcPr>
            <w:tcW w:w="2425" w:type="dxa"/>
            <w:vAlign w:val="center"/>
          </w:tcPr>
          <w:p w14:paraId="566DD4FB" w14:textId="77777777" w:rsidR="00F00F8C" w:rsidRPr="00F00F8C" w:rsidRDefault="00632A36" w:rsidP="00F57903">
            <w:pPr>
              <w:rPr>
                <w:rFonts w:eastAsia="Times New Roman"/>
              </w:rPr>
            </w:pPr>
            <w:hyperlink r:id="rId12" w:history="1">
              <w:r w:rsidR="00F00F8C" w:rsidRPr="00F00F8C">
                <w:rPr>
                  <w:rStyle w:val="Hyperlink"/>
                  <w:rFonts w:eastAsia="Times New Roman"/>
                </w:rPr>
                <w:t>Future protocol</w:t>
              </w:r>
            </w:hyperlink>
          </w:p>
        </w:tc>
        <w:tc>
          <w:tcPr>
            <w:tcW w:w="6565" w:type="dxa"/>
            <w:vAlign w:val="center"/>
          </w:tcPr>
          <w:p w14:paraId="0FC3FB99" w14:textId="4E74F7A4" w:rsidR="00F00F8C" w:rsidRPr="007E44C0" w:rsidRDefault="00F00F8C" w:rsidP="00F57903">
            <w:pPr>
              <w:rPr>
                <w:sz w:val="20"/>
                <w:szCs w:val="20"/>
              </w:rPr>
            </w:pPr>
            <w:r w:rsidRPr="007E44C0">
              <w:rPr>
                <w:sz w:val="20"/>
                <w:szCs w:val="20"/>
              </w:rPr>
              <w:t>Look into the future to imagine the best outcome for your school. Then, brainstorm steps to get there.</w:t>
            </w:r>
          </w:p>
        </w:tc>
      </w:tr>
      <w:tr w:rsidR="00F00F8C" w:rsidRPr="00F00F8C" w14:paraId="3EF2A40A" w14:textId="6C97D90C" w:rsidTr="00303139">
        <w:tc>
          <w:tcPr>
            <w:tcW w:w="2425" w:type="dxa"/>
            <w:vAlign w:val="center"/>
          </w:tcPr>
          <w:p w14:paraId="17DAC635" w14:textId="77777777" w:rsidR="00F00F8C" w:rsidRPr="00F00F8C" w:rsidRDefault="00632A36" w:rsidP="00F57903">
            <w:pPr>
              <w:rPr>
                <w:rFonts w:eastAsia="Times New Roman"/>
              </w:rPr>
            </w:pPr>
            <w:hyperlink r:id="rId13" w:history="1">
              <w:r w:rsidR="00F00F8C" w:rsidRPr="00F00F8C">
                <w:rPr>
                  <w:rStyle w:val="Hyperlink"/>
                  <w:rFonts w:eastAsia="Times New Roman"/>
                </w:rPr>
                <w:t>Realms of Concern and Influence</w:t>
              </w:r>
            </w:hyperlink>
          </w:p>
        </w:tc>
        <w:tc>
          <w:tcPr>
            <w:tcW w:w="6565" w:type="dxa"/>
            <w:vAlign w:val="center"/>
          </w:tcPr>
          <w:p w14:paraId="186E919B" w14:textId="5447C591" w:rsidR="00F00F8C" w:rsidRPr="007E44C0" w:rsidRDefault="00F00F8C" w:rsidP="00F57903">
            <w:pPr>
              <w:rPr>
                <w:sz w:val="20"/>
                <w:szCs w:val="20"/>
              </w:rPr>
            </w:pPr>
            <w:r w:rsidRPr="007E44C0">
              <w:rPr>
                <w:sz w:val="20"/>
                <w:szCs w:val="20"/>
              </w:rPr>
              <w:t>Share concerns and consider which ones your team has influence over.</w:t>
            </w:r>
          </w:p>
        </w:tc>
      </w:tr>
      <w:tr w:rsidR="00F00F8C" w:rsidRPr="00F00F8C" w14:paraId="7AAC5D70" w14:textId="64D49EAE" w:rsidTr="00303139">
        <w:tc>
          <w:tcPr>
            <w:tcW w:w="2425" w:type="dxa"/>
            <w:vAlign w:val="center"/>
          </w:tcPr>
          <w:p w14:paraId="7D8BE3BA" w14:textId="77777777" w:rsidR="00F00F8C" w:rsidRPr="00F00F8C" w:rsidRDefault="00632A36" w:rsidP="00F57903">
            <w:pPr>
              <w:rPr>
                <w:rFonts w:eastAsia="Times New Roman"/>
              </w:rPr>
            </w:pPr>
            <w:hyperlink r:id="rId14" w:history="1">
              <w:r w:rsidR="00F00F8C" w:rsidRPr="00F00F8C">
                <w:rPr>
                  <w:rStyle w:val="Hyperlink"/>
                  <w:rFonts w:eastAsia="Times New Roman"/>
                </w:rPr>
                <w:t>Ping Pong Protocol</w:t>
              </w:r>
            </w:hyperlink>
          </w:p>
        </w:tc>
        <w:tc>
          <w:tcPr>
            <w:tcW w:w="6565" w:type="dxa"/>
            <w:vAlign w:val="center"/>
          </w:tcPr>
          <w:p w14:paraId="4BD85BF7" w14:textId="5291ED25" w:rsidR="00F00F8C" w:rsidRPr="007E44C0" w:rsidRDefault="00F00F8C" w:rsidP="00F57903">
            <w:pPr>
              <w:rPr>
                <w:sz w:val="20"/>
                <w:szCs w:val="20"/>
              </w:rPr>
            </w:pPr>
            <w:r w:rsidRPr="007E44C0">
              <w:rPr>
                <w:sz w:val="20"/>
                <w:szCs w:val="20"/>
              </w:rPr>
              <w:t>Brainstorm about an issue or problem your team members are facing.</w:t>
            </w:r>
          </w:p>
        </w:tc>
      </w:tr>
      <w:tr w:rsidR="00F00F8C" w:rsidRPr="00F00F8C" w14:paraId="5569ACAD" w14:textId="464CFC01" w:rsidTr="00303139">
        <w:tc>
          <w:tcPr>
            <w:tcW w:w="2425" w:type="dxa"/>
            <w:vAlign w:val="center"/>
          </w:tcPr>
          <w:p w14:paraId="41899017" w14:textId="54196252" w:rsidR="00F00F8C" w:rsidRPr="00F00F8C" w:rsidRDefault="00632A36" w:rsidP="00F57903">
            <w:pPr>
              <w:rPr>
                <w:rFonts w:eastAsia="Times New Roman"/>
              </w:rPr>
            </w:pPr>
            <w:hyperlink r:id="rId15" w:history="1">
              <w:r w:rsidR="00F00F8C" w:rsidRPr="00F00F8C">
                <w:rPr>
                  <w:rStyle w:val="Hyperlink"/>
                  <w:rFonts w:eastAsia="Times New Roman"/>
                </w:rPr>
                <w:t>Multiple Perspectives Protocol</w:t>
              </w:r>
            </w:hyperlink>
          </w:p>
        </w:tc>
        <w:tc>
          <w:tcPr>
            <w:tcW w:w="6565" w:type="dxa"/>
            <w:vAlign w:val="center"/>
          </w:tcPr>
          <w:p w14:paraId="126C9413" w14:textId="156F9DD4" w:rsidR="00F00F8C" w:rsidRPr="007E44C0" w:rsidRDefault="00F00F8C" w:rsidP="00F57903">
            <w:pPr>
              <w:rPr>
                <w:sz w:val="20"/>
                <w:szCs w:val="20"/>
              </w:rPr>
            </w:pPr>
            <w:r w:rsidRPr="007E44C0">
              <w:rPr>
                <w:sz w:val="20"/>
                <w:szCs w:val="20"/>
              </w:rPr>
              <w:t>Think about an issue from different points of view. Adapt for “What is family engagement, actually?”</w:t>
            </w:r>
          </w:p>
        </w:tc>
      </w:tr>
      <w:tr w:rsidR="00F00F8C" w:rsidRPr="00F00F8C" w14:paraId="25E21A14" w14:textId="6A794AFB" w:rsidTr="00303139">
        <w:tc>
          <w:tcPr>
            <w:tcW w:w="2425" w:type="dxa"/>
            <w:vAlign w:val="center"/>
          </w:tcPr>
          <w:p w14:paraId="52125F62" w14:textId="77777777" w:rsidR="00F00F8C" w:rsidRPr="00F00F8C" w:rsidRDefault="00632A36" w:rsidP="00F57903">
            <w:pPr>
              <w:rPr>
                <w:rFonts w:eastAsia="Times New Roman"/>
              </w:rPr>
            </w:pPr>
            <w:hyperlink r:id="rId16" w:history="1">
              <w:r w:rsidR="00F00F8C" w:rsidRPr="00F00F8C">
                <w:rPr>
                  <w:rStyle w:val="Hyperlink"/>
                  <w:rFonts w:eastAsia="Times New Roman"/>
                </w:rPr>
                <w:t>Barriers and Bridges</w:t>
              </w:r>
            </w:hyperlink>
          </w:p>
        </w:tc>
        <w:tc>
          <w:tcPr>
            <w:tcW w:w="6565" w:type="dxa"/>
            <w:vAlign w:val="center"/>
          </w:tcPr>
          <w:p w14:paraId="4A3E7439" w14:textId="3F10B904" w:rsidR="00F00F8C" w:rsidRPr="007E44C0" w:rsidRDefault="00F00F8C" w:rsidP="00F57903">
            <w:pPr>
              <w:rPr>
                <w:sz w:val="20"/>
                <w:szCs w:val="20"/>
              </w:rPr>
            </w:pPr>
            <w:r w:rsidRPr="007E44C0">
              <w:rPr>
                <w:sz w:val="20"/>
                <w:szCs w:val="20"/>
              </w:rPr>
              <w:t>Brainstorm what barriers your team faces and how those can be turned into bridges.</w:t>
            </w:r>
          </w:p>
        </w:tc>
      </w:tr>
    </w:tbl>
    <w:p w14:paraId="063340AC" w14:textId="77777777" w:rsidR="00303139" w:rsidRDefault="00303139" w:rsidP="00303139">
      <w:pPr>
        <w:spacing w:after="0"/>
      </w:pPr>
    </w:p>
    <w:p w14:paraId="4C4445BF" w14:textId="0C135695" w:rsidR="00BF47AE" w:rsidRPr="00F00F8C" w:rsidRDefault="006321CC" w:rsidP="00BF47AE">
      <w:pPr>
        <w:rPr>
          <w:color w:val="000000" w:themeColor="text2"/>
        </w:rPr>
      </w:pPr>
      <w:r>
        <w:t xml:space="preserve">Type 2: </w:t>
      </w:r>
      <w:r w:rsidR="00BF47AE">
        <w:t>Looking at survey data:</w:t>
      </w:r>
      <w:r w:rsidR="00F00F8C">
        <w:t xml:space="preserve"> </w:t>
      </w:r>
      <w:r w:rsidR="00F00F8C">
        <w:rPr>
          <w:color w:val="000000" w:themeColor="text2"/>
        </w:rPr>
        <w:t>Use these protocols to look at data objectively and methodically.</w:t>
      </w:r>
    </w:p>
    <w:tbl>
      <w:tblPr>
        <w:tblStyle w:val="TableGrid"/>
        <w:tblW w:w="0" w:type="auto"/>
        <w:tblInd w:w="360" w:type="dxa"/>
        <w:tblLook w:val="04A0" w:firstRow="1" w:lastRow="0" w:firstColumn="1" w:lastColumn="0" w:noHBand="0" w:noVBand="1"/>
      </w:tblPr>
      <w:tblGrid>
        <w:gridCol w:w="2425"/>
        <w:gridCol w:w="6565"/>
      </w:tblGrid>
      <w:tr w:rsidR="00F00F8C" w:rsidRPr="00F00F8C" w14:paraId="12DFBEEA" w14:textId="2DF2DFB1" w:rsidTr="00303139">
        <w:tc>
          <w:tcPr>
            <w:tcW w:w="2425" w:type="dxa"/>
            <w:vAlign w:val="center"/>
          </w:tcPr>
          <w:p w14:paraId="7C603BB6" w14:textId="77777777" w:rsidR="00F00F8C" w:rsidRPr="00F00F8C" w:rsidRDefault="00632A36" w:rsidP="00F57903">
            <w:pPr>
              <w:rPr>
                <w:rFonts w:eastAsia="Times New Roman"/>
              </w:rPr>
            </w:pPr>
            <w:hyperlink r:id="rId17" w:history="1">
              <w:r w:rsidR="00F00F8C" w:rsidRPr="00F00F8C">
                <w:rPr>
                  <w:rStyle w:val="Hyperlink"/>
                  <w:rFonts w:eastAsia="Times New Roman"/>
                </w:rPr>
                <w:t>Success Analysis</w:t>
              </w:r>
            </w:hyperlink>
          </w:p>
        </w:tc>
        <w:tc>
          <w:tcPr>
            <w:tcW w:w="6565" w:type="dxa"/>
            <w:vAlign w:val="center"/>
          </w:tcPr>
          <w:p w14:paraId="597C4FA8" w14:textId="64B4FA6B" w:rsidR="00F00F8C" w:rsidRPr="007E44C0" w:rsidRDefault="00303139" w:rsidP="00F57903">
            <w:pPr>
              <w:rPr>
                <w:sz w:val="20"/>
                <w:szCs w:val="20"/>
              </w:rPr>
            </w:pPr>
            <w:r w:rsidRPr="007E44C0">
              <w:rPr>
                <w:sz w:val="20"/>
                <w:szCs w:val="20"/>
              </w:rPr>
              <w:t>Examine</w:t>
            </w:r>
            <w:r w:rsidR="00F00F8C" w:rsidRPr="007E44C0">
              <w:rPr>
                <w:sz w:val="20"/>
                <w:szCs w:val="20"/>
              </w:rPr>
              <w:t xml:space="preserve"> </w:t>
            </w:r>
            <w:r w:rsidRPr="007E44C0">
              <w:rPr>
                <w:sz w:val="20"/>
                <w:szCs w:val="20"/>
              </w:rPr>
              <w:t>successful practices</w:t>
            </w:r>
            <w:r w:rsidR="00F00F8C" w:rsidRPr="007E44C0">
              <w:rPr>
                <w:sz w:val="20"/>
                <w:szCs w:val="20"/>
              </w:rPr>
              <w:t xml:space="preserve"> and reflect on what makes them so.</w:t>
            </w:r>
          </w:p>
        </w:tc>
      </w:tr>
      <w:tr w:rsidR="00F00F8C" w:rsidRPr="00F00F8C" w14:paraId="55BD4622" w14:textId="1108CF61" w:rsidTr="00303139">
        <w:tc>
          <w:tcPr>
            <w:tcW w:w="2425" w:type="dxa"/>
            <w:vAlign w:val="center"/>
          </w:tcPr>
          <w:p w14:paraId="2CABCBFC" w14:textId="77777777" w:rsidR="00F00F8C" w:rsidRPr="00F00F8C" w:rsidRDefault="00632A36" w:rsidP="00F57903">
            <w:pPr>
              <w:rPr>
                <w:rFonts w:eastAsia="Times New Roman"/>
              </w:rPr>
            </w:pPr>
            <w:hyperlink r:id="rId18" w:history="1">
              <w:r w:rsidR="00F00F8C" w:rsidRPr="00F00F8C">
                <w:rPr>
                  <w:rStyle w:val="Hyperlink"/>
                  <w:rFonts w:eastAsia="Times New Roman"/>
                </w:rPr>
                <w:t>Data Driven Dialogue</w:t>
              </w:r>
            </w:hyperlink>
          </w:p>
        </w:tc>
        <w:tc>
          <w:tcPr>
            <w:tcW w:w="6565" w:type="dxa"/>
            <w:vAlign w:val="center"/>
          </w:tcPr>
          <w:p w14:paraId="1A086C92" w14:textId="4DD1C9D9" w:rsidR="00F00F8C" w:rsidRPr="007E44C0" w:rsidRDefault="00303139" w:rsidP="00F57903">
            <w:pPr>
              <w:rPr>
                <w:sz w:val="20"/>
                <w:szCs w:val="20"/>
              </w:rPr>
            </w:pPr>
            <w:r w:rsidRPr="007E44C0">
              <w:rPr>
                <w:sz w:val="20"/>
                <w:szCs w:val="20"/>
              </w:rPr>
              <w:t xml:space="preserve">Make </w:t>
            </w:r>
            <w:r w:rsidR="00F00F8C" w:rsidRPr="007E44C0">
              <w:rPr>
                <w:sz w:val="20"/>
                <w:szCs w:val="20"/>
              </w:rPr>
              <w:t>shared meaning from data</w:t>
            </w:r>
            <w:r w:rsidRPr="007E44C0">
              <w:rPr>
                <w:sz w:val="20"/>
                <w:szCs w:val="20"/>
              </w:rPr>
              <w:t xml:space="preserve"> while encouraging equal voices.</w:t>
            </w:r>
          </w:p>
        </w:tc>
      </w:tr>
      <w:tr w:rsidR="00F00F8C" w:rsidRPr="00F00F8C" w14:paraId="61E35413" w14:textId="5039D695" w:rsidTr="00303139">
        <w:tc>
          <w:tcPr>
            <w:tcW w:w="2425" w:type="dxa"/>
            <w:vAlign w:val="center"/>
          </w:tcPr>
          <w:p w14:paraId="59385A0C" w14:textId="77777777" w:rsidR="00F00F8C" w:rsidRPr="00F00F8C" w:rsidRDefault="00632A36" w:rsidP="00F57903">
            <w:pPr>
              <w:rPr>
                <w:rFonts w:eastAsia="Times New Roman"/>
              </w:rPr>
            </w:pPr>
            <w:hyperlink r:id="rId19" w:history="1">
              <w:r w:rsidR="00F00F8C" w:rsidRPr="00F00F8C">
                <w:rPr>
                  <w:rStyle w:val="Hyperlink"/>
                  <w:rFonts w:eastAsia="Times New Roman"/>
                </w:rPr>
                <w:t>Data Mining Protocol</w:t>
              </w:r>
            </w:hyperlink>
          </w:p>
        </w:tc>
        <w:tc>
          <w:tcPr>
            <w:tcW w:w="6565" w:type="dxa"/>
            <w:vAlign w:val="center"/>
          </w:tcPr>
          <w:p w14:paraId="55E9FF26" w14:textId="17DDCE39" w:rsidR="00F00F8C" w:rsidRPr="007E44C0" w:rsidRDefault="00303139" w:rsidP="00F57903">
            <w:pPr>
              <w:rPr>
                <w:sz w:val="20"/>
                <w:szCs w:val="20"/>
              </w:rPr>
            </w:pPr>
            <w:r w:rsidRPr="007E44C0">
              <w:rPr>
                <w:sz w:val="20"/>
                <w:szCs w:val="20"/>
              </w:rPr>
              <w:t>For use with two complementary data sets (such as family survey data and staff survey data).</w:t>
            </w:r>
          </w:p>
        </w:tc>
      </w:tr>
      <w:tr w:rsidR="00F00F8C" w:rsidRPr="00F00F8C" w14:paraId="255EB3EF" w14:textId="0CEE39A9" w:rsidTr="00303139">
        <w:tc>
          <w:tcPr>
            <w:tcW w:w="2425" w:type="dxa"/>
            <w:vAlign w:val="center"/>
          </w:tcPr>
          <w:p w14:paraId="691D554F" w14:textId="77777777" w:rsidR="00F00F8C" w:rsidRPr="00F00F8C" w:rsidRDefault="00632A36" w:rsidP="00F57903">
            <w:pPr>
              <w:rPr>
                <w:rFonts w:eastAsia="Times New Roman"/>
              </w:rPr>
            </w:pPr>
            <w:hyperlink r:id="rId20" w:history="1">
              <w:r w:rsidR="00F00F8C" w:rsidRPr="00F00F8C">
                <w:rPr>
                  <w:rStyle w:val="Hyperlink"/>
                  <w:rFonts w:eastAsia="Times New Roman"/>
                </w:rPr>
                <w:t>Looking at Data Sets</w:t>
              </w:r>
            </w:hyperlink>
          </w:p>
        </w:tc>
        <w:tc>
          <w:tcPr>
            <w:tcW w:w="6565" w:type="dxa"/>
            <w:vAlign w:val="center"/>
          </w:tcPr>
          <w:p w14:paraId="2A26CE9B" w14:textId="3B790B51" w:rsidR="00F00F8C" w:rsidRPr="007E44C0" w:rsidRDefault="00303139" w:rsidP="00F57903">
            <w:pPr>
              <w:rPr>
                <w:sz w:val="20"/>
                <w:szCs w:val="20"/>
              </w:rPr>
            </w:pPr>
            <w:r w:rsidRPr="007E44C0">
              <w:rPr>
                <w:sz w:val="20"/>
                <w:szCs w:val="20"/>
              </w:rPr>
              <w:t>Allows for sharing of initial reactions, closer examination, feedback, multiple perspectives, and synthesis.</w:t>
            </w:r>
          </w:p>
        </w:tc>
      </w:tr>
    </w:tbl>
    <w:p w14:paraId="2D5171FD" w14:textId="77777777" w:rsidR="00BF47AE" w:rsidRDefault="00BF47AE" w:rsidP="00303139">
      <w:pPr>
        <w:spacing w:after="0"/>
      </w:pPr>
    </w:p>
    <w:p w14:paraId="288EB301" w14:textId="0FEF1834" w:rsidR="00BF47AE" w:rsidRDefault="006321CC" w:rsidP="00BF47AE">
      <w:r>
        <w:t xml:space="preserve">Type 3: </w:t>
      </w:r>
      <w:r w:rsidR="00BF47AE">
        <w:t>Revising and asking for feedback:</w:t>
      </w:r>
    </w:p>
    <w:tbl>
      <w:tblPr>
        <w:tblStyle w:val="TableGrid"/>
        <w:tblW w:w="0" w:type="auto"/>
        <w:tblInd w:w="360" w:type="dxa"/>
        <w:tblLook w:val="04A0" w:firstRow="1" w:lastRow="0" w:firstColumn="1" w:lastColumn="0" w:noHBand="0" w:noVBand="1"/>
      </w:tblPr>
      <w:tblGrid>
        <w:gridCol w:w="2425"/>
        <w:gridCol w:w="6565"/>
      </w:tblGrid>
      <w:tr w:rsidR="00303139" w:rsidRPr="00303139" w14:paraId="53EA81D2" w14:textId="3001CC10" w:rsidTr="00303139">
        <w:tc>
          <w:tcPr>
            <w:tcW w:w="2425" w:type="dxa"/>
          </w:tcPr>
          <w:p w14:paraId="68099D75" w14:textId="77777777" w:rsidR="00303139" w:rsidRPr="00303139" w:rsidRDefault="00632A36" w:rsidP="00F57903">
            <w:pPr>
              <w:rPr>
                <w:rFonts w:eastAsia="Times New Roman"/>
              </w:rPr>
            </w:pPr>
            <w:hyperlink r:id="rId21" w:history="1">
              <w:r w:rsidR="00303139" w:rsidRPr="00303139">
                <w:rPr>
                  <w:rStyle w:val="Hyperlink"/>
                  <w:rFonts w:eastAsia="Times New Roman"/>
                </w:rPr>
                <w:t>Tuning a Plan</w:t>
              </w:r>
            </w:hyperlink>
          </w:p>
        </w:tc>
        <w:tc>
          <w:tcPr>
            <w:tcW w:w="6565" w:type="dxa"/>
          </w:tcPr>
          <w:p w14:paraId="4FFE55CE" w14:textId="0D1E47C4" w:rsidR="00303139" w:rsidRPr="007E44C0" w:rsidRDefault="00303139" w:rsidP="00F57903">
            <w:pPr>
              <w:rPr>
                <w:sz w:val="20"/>
                <w:szCs w:val="20"/>
              </w:rPr>
            </w:pPr>
            <w:r w:rsidRPr="007E44C0">
              <w:rPr>
                <w:sz w:val="20"/>
                <w:szCs w:val="20"/>
              </w:rPr>
              <w:t>Get feedback about a set of goals and associated activities.</w:t>
            </w:r>
          </w:p>
        </w:tc>
      </w:tr>
      <w:tr w:rsidR="00303139" w:rsidRPr="00303139" w14:paraId="534EE42A" w14:textId="6B2EB16D" w:rsidTr="00303139">
        <w:tc>
          <w:tcPr>
            <w:tcW w:w="2425" w:type="dxa"/>
          </w:tcPr>
          <w:p w14:paraId="668339D7" w14:textId="77777777" w:rsidR="00303139" w:rsidRPr="00303139" w:rsidRDefault="00632A36" w:rsidP="00F57903">
            <w:pPr>
              <w:rPr>
                <w:rFonts w:eastAsia="Times New Roman"/>
              </w:rPr>
            </w:pPr>
            <w:hyperlink r:id="rId22" w:history="1">
              <w:r w:rsidR="00303139" w:rsidRPr="00303139">
                <w:rPr>
                  <w:rStyle w:val="Hyperlink"/>
                  <w:rFonts w:eastAsia="Times New Roman"/>
                </w:rPr>
                <w:t>Feedback Carousel</w:t>
              </w:r>
            </w:hyperlink>
          </w:p>
        </w:tc>
        <w:tc>
          <w:tcPr>
            <w:tcW w:w="6565" w:type="dxa"/>
          </w:tcPr>
          <w:p w14:paraId="79598A85" w14:textId="3C7FF412" w:rsidR="00303139" w:rsidRPr="007E44C0" w:rsidRDefault="00303139" w:rsidP="00F57903">
            <w:pPr>
              <w:rPr>
                <w:sz w:val="20"/>
                <w:szCs w:val="20"/>
              </w:rPr>
            </w:pPr>
            <w:r w:rsidRPr="007E44C0">
              <w:rPr>
                <w:sz w:val="20"/>
                <w:szCs w:val="20"/>
              </w:rPr>
              <w:t>Get different kinds of feedback in a relatively short amount of time.</w:t>
            </w:r>
          </w:p>
        </w:tc>
      </w:tr>
      <w:tr w:rsidR="00303139" w:rsidRPr="00303139" w14:paraId="0F62BC3E" w14:textId="7B240E1E" w:rsidTr="00303139">
        <w:tc>
          <w:tcPr>
            <w:tcW w:w="2425" w:type="dxa"/>
          </w:tcPr>
          <w:p w14:paraId="14941127" w14:textId="10A86E26" w:rsidR="00303139" w:rsidRPr="00303139" w:rsidRDefault="00632A36" w:rsidP="00F57903">
            <w:pPr>
              <w:rPr>
                <w:rFonts w:eastAsia="Times New Roman"/>
              </w:rPr>
            </w:pPr>
            <w:hyperlink r:id="rId23" w:history="1">
              <w:r w:rsidR="00303139" w:rsidRPr="00303139">
                <w:rPr>
                  <w:rStyle w:val="Hyperlink"/>
                  <w:rFonts w:eastAsia="Times New Roman"/>
                </w:rPr>
                <w:t>Equity Protocol</w:t>
              </w:r>
            </w:hyperlink>
            <w:r w:rsidR="00303139" w:rsidRPr="00303139">
              <w:rPr>
                <w:rFonts w:eastAsia="Times New Roman"/>
              </w:rPr>
              <w:t xml:space="preserve"> </w:t>
            </w:r>
          </w:p>
        </w:tc>
        <w:tc>
          <w:tcPr>
            <w:tcW w:w="6565" w:type="dxa"/>
          </w:tcPr>
          <w:p w14:paraId="313E9434" w14:textId="37855205" w:rsidR="00303139" w:rsidRPr="007E44C0" w:rsidRDefault="00303139" w:rsidP="00F57903">
            <w:pPr>
              <w:rPr>
                <w:sz w:val="20"/>
                <w:szCs w:val="20"/>
              </w:rPr>
            </w:pPr>
            <w:r w:rsidRPr="007E44C0">
              <w:rPr>
                <w:sz w:val="20"/>
                <w:szCs w:val="20"/>
              </w:rPr>
              <w:t>Examine how your plan promotes equity. (Adapt by substituting “families” for “students” in the protocol prompts.)</w:t>
            </w:r>
          </w:p>
        </w:tc>
      </w:tr>
      <w:tr w:rsidR="00303139" w:rsidRPr="00303139" w14:paraId="75F8322C" w14:textId="48C859BE" w:rsidTr="00303139">
        <w:tc>
          <w:tcPr>
            <w:tcW w:w="2425" w:type="dxa"/>
          </w:tcPr>
          <w:p w14:paraId="59DC5D68" w14:textId="77777777" w:rsidR="00303139" w:rsidRPr="00303139" w:rsidRDefault="00632A36" w:rsidP="00F57903">
            <w:pPr>
              <w:rPr>
                <w:rFonts w:eastAsia="Times New Roman"/>
              </w:rPr>
            </w:pPr>
            <w:hyperlink r:id="rId24" w:history="1">
              <w:r w:rsidR="00303139" w:rsidRPr="00303139">
                <w:rPr>
                  <w:rStyle w:val="Hyperlink"/>
                  <w:rFonts w:eastAsia="Times New Roman"/>
                </w:rPr>
                <w:t>Consultancy Protocol</w:t>
              </w:r>
            </w:hyperlink>
          </w:p>
        </w:tc>
        <w:tc>
          <w:tcPr>
            <w:tcW w:w="6565" w:type="dxa"/>
          </w:tcPr>
          <w:p w14:paraId="4927B978" w14:textId="4754C494" w:rsidR="00303139" w:rsidRPr="007E44C0" w:rsidRDefault="00303139" w:rsidP="00F57903">
            <w:pPr>
              <w:rPr>
                <w:sz w:val="20"/>
                <w:szCs w:val="20"/>
              </w:rPr>
            </w:pPr>
            <w:r w:rsidRPr="007E44C0">
              <w:rPr>
                <w:sz w:val="20"/>
                <w:szCs w:val="20"/>
              </w:rPr>
              <w:t>Present a dilemma in your plan and brainstorm solutions.</w:t>
            </w:r>
          </w:p>
        </w:tc>
      </w:tr>
      <w:tr w:rsidR="00303139" w:rsidRPr="00303139" w14:paraId="057FD21F" w14:textId="14031C92" w:rsidTr="00303139">
        <w:tc>
          <w:tcPr>
            <w:tcW w:w="2425" w:type="dxa"/>
          </w:tcPr>
          <w:p w14:paraId="4DA9C88E" w14:textId="77777777" w:rsidR="00303139" w:rsidRPr="00303139" w:rsidRDefault="00632A36" w:rsidP="00F57903">
            <w:pPr>
              <w:rPr>
                <w:rFonts w:eastAsia="Times New Roman"/>
              </w:rPr>
            </w:pPr>
            <w:hyperlink r:id="rId25" w:history="1">
              <w:r w:rsidR="00303139" w:rsidRPr="00303139">
                <w:rPr>
                  <w:rStyle w:val="Hyperlink"/>
                  <w:rFonts w:eastAsia="Times New Roman"/>
                </w:rPr>
                <w:t>Charette</w:t>
              </w:r>
            </w:hyperlink>
          </w:p>
        </w:tc>
        <w:tc>
          <w:tcPr>
            <w:tcW w:w="6565" w:type="dxa"/>
          </w:tcPr>
          <w:p w14:paraId="566BB6B3" w14:textId="571AF26E" w:rsidR="00303139" w:rsidRPr="007E44C0" w:rsidRDefault="00303139" w:rsidP="00F57903">
            <w:pPr>
              <w:rPr>
                <w:sz w:val="20"/>
                <w:szCs w:val="20"/>
              </w:rPr>
            </w:pPr>
            <w:r w:rsidRPr="007E44C0">
              <w:rPr>
                <w:sz w:val="20"/>
                <w:szCs w:val="20"/>
              </w:rPr>
              <w:t>A protocol in architecture</w:t>
            </w:r>
            <w:r w:rsidR="007E44C0" w:rsidRPr="007E44C0">
              <w:rPr>
                <w:sz w:val="20"/>
                <w:szCs w:val="20"/>
              </w:rPr>
              <w:t>, used to “kick up” the level of performance.</w:t>
            </w:r>
          </w:p>
        </w:tc>
      </w:tr>
    </w:tbl>
    <w:p w14:paraId="3FF36DAD" w14:textId="77777777" w:rsidR="00BF47AE" w:rsidRDefault="00BF47AE" w:rsidP="00303139">
      <w:pPr>
        <w:spacing w:after="0"/>
      </w:pPr>
    </w:p>
    <w:p w14:paraId="78C362AE" w14:textId="0FC4CA87" w:rsidR="00BF47AE" w:rsidRDefault="006321CC" w:rsidP="00BF47AE">
      <w:r>
        <w:t xml:space="preserve">Type 4: </w:t>
      </w:r>
      <w:r w:rsidR="00BF47AE">
        <w:t>Reflecting on the process:</w:t>
      </w:r>
    </w:p>
    <w:tbl>
      <w:tblPr>
        <w:tblStyle w:val="TableGrid"/>
        <w:tblW w:w="0" w:type="auto"/>
        <w:tblInd w:w="360" w:type="dxa"/>
        <w:tblLook w:val="04A0" w:firstRow="1" w:lastRow="0" w:firstColumn="1" w:lastColumn="0" w:noHBand="0" w:noVBand="1"/>
      </w:tblPr>
      <w:tblGrid>
        <w:gridCol w:w="2425"/>
        <w:gridCol w:w="6565"/>
      </w:tblGrid>
      <w:tr w:rsidR="007E44C0" w:rsidRPr="007E44C0" w14:paraId="415AE8C5" w14:textId="2A137C39" w:rsidTr="007E44C0">
        <w:tc>
          <w:tcPr>
            <w:tcW w:w="2425" w:type="dxa"/>
          </w:tcPr>
          <w:p w14:paraId="57AA7517" w14:textId="77777777" w:rsidR="007E44C0" w:rsidRPr="007E44C0" w:rsidRDefault="00632A36" w:rsidP="00F57903">
            <w:pPr>
              <w:rPr>
                <w:rFonts w:eastAsia="Times New Roman"/>
              </w:rPr>
            </w:pPr>
            <w:hyperlink r:id="rId26" w:history="1">
              <w:r w:rsidR="007E44C0" w:rsidRPr="007E44C0">
                <w:rPr>
                  <w:rStyle w:val="Hyperlink"/>
                  <w:rFonts w:eastAsia="Times New Roman"/>
                </w:rPr>
                <w:t>Process of Developing Understanding</w:t>
              </w:r>
            </w:hyperlink>
          </w:p>
        </w:tc>
        <w:tc>
          <w:tcPr>
            <w:tcW w:w="6565" w:type="dxa"/>
          </w:tcPr>
          <w:p w14:paraId="48915499" w14:textId="14CADC1F" w:rsidR="007E44C0" w:rsidRPr="007E44C0" w:rsidRDefault="007E44C0" w:rsidP="00F57903">
            <w:pPr>
              <w:rPr>
                <w:sz w:val="20"/>
                <w:szCs w:val="20"/>
              </w:rPr>
            </w:pPr>
            <w:r>
              <w:rPr>
                <w:sz w:val="20"/>
                <w:szCs w:val="20"/>
              </w:rPr>
              <w:t>Analyze how a new understanding has developed.</w:t>
            </w:r>
          </w:p>
        </w:tc>
      </w:tr>
      <w:tr w:rsidR="007E44C0" w:rsidRPr="007E44C0" w14:paraId="4723CAE5" w14:textId="0A674CC6" w:rsidTr="007E44C0">
        <w:tc>
          <w:tcPr>
            <w:tcW w:w="2425" w:type="dxa"/>
          </w:tcPr>
          <w:p w14:paraId="57A0993E" w14:textId="77777777" w:rsidR="007E44C0" w:rsidRPr="007E44C0" w:rsidRDefault="00632A36" w:rsidP="00F57903">
            <w:pPr>
              <w:rPr>
                <w:rFonts w:eastAsia="Times New Roman"/>
              </w:rPr>
            </w:pPr>
            <w:hyperlink r:id="rId27" w:history="1">
              <w:r w:rsidR="007E44C0" w:rsidRPr="007E44C0">
                <w:rPr>
                  <w:rStyle w:val="Hyperlink"/>
                  <w:rFonts w:eastAsia="Times New Roman"/>
                </w:rPr>
                <w:t>Talking Stick Ceremony</w:t>
              </w:r>
            </w:hyperlink>
          </w:p>
        </w:tc>
        <w:tc>
          <w:tcPr>
            <w:tcW w:w="6565" w:type="dxa"/>
          </w:tcPr>
          <w:p w14:paraId="37F8FD94" w14:textId="3A6B8532" w:rsidR="007E44C0" w:rsidRPr="007E44C0" w:rsidRDefault="007E44C0" w:rsidP="00F57903">
            <w:pPr>
              <w:rPr>
                <w:sz w:val="20"/>
                <w:szCs w:val="20"/>
              </w:rPr>
            </w:pPr>
            <w:r>
              <w:rPr>
                <w:sz w:val="20"/>
                <w:szCs w:val="20"/>
              </w:rPr>
              <w:t>Debrief your team’s process by using a talking stick to ensure equal voices.</w:t>
            </w:r>
          </w:p>
        </w:tc>
      </w:tr>
      <w:tr w:rsidR="007E44C0" w:rsidRPr="007E44C0" w14:paraId="7A7A8A4E" w14:textId="6624F2B3" w:rsidTr="007E44C0">
        <w:tc>
          <w:tcPr>
            <w:tcW w:w="2425" w:type="dxa"/>
          </w:tcPr>
          <w:p w14:paraId="432B9832" w14:textId="77777777" w:rsidR="007E44C0" w:rsidRPr="007E44C0" w:rsidRDefault="00632A36" w:rsidP="00F57903">
            <w:pPr>
              <w:rPr>
                <w:rFonts w:eastAsia="Times New Roman"/>
              </w:rPr>
            </w:pPr>
            <w:hyperlink r:id="rId28" w:history="1">
              <w:r w:rsidR="007E44C0" w:rsidRPr="007E44C0">
                <w:rPr>
                  <w:rStyle w:val="Hyperlink"/>
                  <w:rFonts w:eastAsia="Times New Roman"/>
                </w:rPr>
                <w:t>I used to…but now I…</w:t>
              </w:r>
            </w:hyperlink>
          </w:p>
        </w:tc>
        <w:tc>
          <w:tcPr>
            <w:tcW w:w="6565" w:type="dxa"/>
          </w:tcPr>
          <w:p w14:paraId="327FB85C" w14:textId="6DE4C879" w:rsidR="007E44C0" w:rsidRPr="007E44C0" w:rsidRDefault="007E44C0" w:rsidP="00F57903">
            <w:pPr>
              <w:rPr>
                <w:sz w:val="20"/>
                <w:szCs w:val="20"/>
              </w:rPr>
            </w:pPr>
            <w:r>
              <w:rPr>
                <w:sz w:val="20"/>
                <w:szCs w:val="20"/>
              </w:rPr>
              <w:t>Each participant shares their reflections using the prompt.</w:t>
            </w:r>
          </w:p>
        </w:tc>
      </w:tr>
      <w:tr w:rsidR="007E44C0" w:rsidRPr="007E44C0" w14:paraId="3537EB1F" w14:textId="68D07A82" w:rsidTr="007E44C0">
        <w:tc>
          <w:tcPr>
            <w:tcW w:w="2425" w:type="dxa"/>
          </w:tcPr>
          <w:p w14:paraId="4A18D1DD" w14:textId="20DA5EED" w:rsidR="007E44C0" w:rsidRPr="007E44C0" w:rsidRDefault="007E44C0" w:rsidP="00F57903">
            <w:pPr>
              <w:rPr>
                <w:rFonts w:eastAsia="Times New Roman"/>
              </w:rPr>
            </w:pPr>
            <w:r w:rsidRPr="007E44C0">
              <w:rPr>
                <w:rFonts w:eastAsia="Times New Roman"/>
              </w:rPr>
              <w:t>Revisit Barriers and Bridges</w:t>
            </w:r>
            <w:r w:rsidR="00B43564">
              <w:rPr>
                <w:rFonts w:eastAsia="Times New Roman"/>
              </w:rPr>
              <w:t xml:space="preserve"> (link above)</w:t>
            </w:r>
          </w:p>
        </w:tc>
        <w:tc>
          <w:tcPr>
            <w:tcW w:w="6565" w:type="dxa"/>
          </w:tcPr>
          <w:p w14:paraId="20F8CC4F" w14:textId="0C8B0ABF" w:rsidR="007E44C0" w:rsidRPr="007E44C0" w:rsidRDefault="007E44C0" w:rsidP="00F57903">
            <w:pPr>
              <w:rPr>
                <w:rFonts w:eastAsia="Times New Roman"/>
                <w:sz w:val="20"/>
                <w:szCs w:val="20"/>
              </w:rPr>
            </w:pPr>
            <w:r>
              <w:rPr>
                <w:rFonts w:eastAsia="Times New Roman"/>
                <w:sz w:val="20"/>
                <w:szCs w:val="20"/>
              </w:rPr>
              <w:t>After working with your team, what barriers are now bridges?</w:t>
            </w:r>
          </w:p>
        </w:tc>
      </w:tr>
    </w:tbl>
    <w:p w14:paraId="57E4EC55" w14:textId="77777777" w:rsidR="006321CC" w:rsidRDefault="006321CC" w:rsidP="006321CC">
      <w:pPr>
        <w:pStyle w:val="Heading1"/>
        <w:spacing w:before="0"/>
      </w:pPr>
    </w:p>
    <w:p w14:paraId="57977B30" w14:textId="77777777" w:rsidR="006321CC" w:rsidRDefault="006321CC">
      <w:pPr>
        <w:rPr>
          <w:rFonts w:asciiTheme="majorHAnsi" w:eastAsiaTheme="majorEastAsia" w:hAnsiTheme="majorHAnsi" w:cstheme="majorBidi"/>
          <w:color w:val="707070" w:themeColor="accent1" w:themeShade="BF"/>
          <w:sz w:val="36"/>
          <w:szCs w:val="36"/>
        </w:rPr>
      </w:pPr>
      <w:r>
        <w:br w:type="page"/>
      </w:r>
    </w:p>
    <w:p w14:paraId="062B5CA9" w14:textId="044B4B61" w:rsidR="001C2DFC" w:rsidRPr="006321CC" w:rsidRDefault="001C2DFC" w:rsidP="006321CC">
      <w:pPr>
        <w:pStyle w:val="Heading1"/>
        <w:spacing w:before="0"/>
        <w:rPr>
          <w:b/>
          <w:bCs/>
        </w:rPr>
      </w:pPr>
      <w:r w:rsidRPr="006321CC">
        <w:rPr>
          <w:b/>
          <w:bCs/>
        </w:rPr>
        <w:lastRenderedPageBreak/>
        <w:t>Appendix B: Examples of Strategies and Action Steps</w:t>
      </w:r>
    </w:p>
    <w:p w14:paraId="65A4F71F" w14:textId="3225574D" w:rsidR="006321CC" w:rsidRDefault="006321CC" w:rsidP="006321CC"/>
    <w:p w14:paraId="5D92EE2D" w14:textId="4868CEFF" w:rsidR="006321CC" w:rsidRPr="006321CC" w:rsidRDefault="006321CC" w:rsidP="006321CC">
      <w:r>
        <w:t xml:space="preserve">There are so many family engagement strategies and activities that schools can use! Here are just a few ideas for each type of family engagement. For more ideas and best practices, visit </w:t>
      </w:r>
      <w:hyperlink r:id="rId29" w:history="1">
        <w:r w:rsidRPr="00631494">
          <w:rPr>
            <w:rStyle w:val="Hyperlink"/>
          </w:rPr>
          <w:t>https://ohiofamiliesengage.osu.edu/</w:t>
        </w:r>
      </w:hyperlink>
      <w:r>
        <w:t>.</w:t>
      </w:r>
    </w:p>
    <w:p w14:paraId="515C5746" w14:textId="042C599C" w:rsidR="001C2DFC" w:rsidRDefault="001C2DFC" w:rsidP="001C2DFC">
      <w:pPr>
        <w:pStyle w:val="Heading2"/>
      </w:pPr>
      <w:r>
        <w:t>Communication</w:t>
      </w:r>
    </w:p>
    <w:p w14:paraId="66CAA7FF" w14:textId="77777777" w:rsidR="001C2DFC" w:rsidRDefault="001C2DFC" w:rsidP="00F57903">
      <w:pPr>
        <w:pStyle w:val="ListParagraph"/>
        <w:numPr>
          <w:ilvl w:val="0"/>
          <w:numId w:val="24"/>
        </w:numPr>
      </w:pPr>
      <w:r>
        <w:t>Teachers unpack and communicate to students and families a progression of developmentally appropriate learning targets.</w:t>
      </w:r>
    </w:p>
    <w:p w14:paraId="25DD62FF" w14:textId="77777777" w:rsidR="001C2DFC" w:rsidRDefault="001C2DFC" w:rsidP="00F57903">
      <w:pPr>
        <w:pStyle w:val="ListParagraph"/>
        <w:numPr>
          <w:ilvl w:val="0"/>
          <w:numId w:val="24"/>
        </w:numPr>
      </w:pPr>
      <w:r>
        <w:t xml:space="preserve">Teachers meet with students and families individually at least once per term. </w:t>
      </w:r>
    </w:p>
    <w:p w14:paraId="0646B6EA" w14:textId="77777777" w:rsidR="001C2DFC" w:rsidRDefault="001C2DFC" w:rsidP="00F57903">
      <w:pPr>
        <w:pStyle w:val="ListParagraph"/>
        <w:numPr>
          <w:ilvl w:val="0"/>
          <w:numId w:val="24"/>
        </w:numPr>
      </w:pPr>
      <w:r>
        <w:t>Teachers use a variety of structures to collect student progress (e.g. assessments, student-led conferences, portfolios).</w:t>
      </w:r>
    </w:p>
    <w:p w14:paraId="52CEDD83" w14:textId="77777777" w:rsidR="001C2DFC" w:rsidRDefault="001C2DFC" w:rsidP="001C2DFC">
      <w:pPr>
        <w:pStyle w:val="ListParagraph"/>
        <w:numPr>
          <w:ilvl w:val="0"/>
          <w:numId w:val="24"/>
        </w:numPr>
      </w:pPr>
      <w:r>
        <w:t>Faculty and staff reflect the high expectations of students in their own behavior and decisions.</w:t>
      </w:r>
    </w:p>
    <w:p w14:paraId="0B97048C" w14:textId="77777777" w:rsidR="001C2DFC" w:rsidRDefault="001C2DFC" w:rsidP="00F57903">
      <w:pPr>
        <w:pStyle w:val="ListParagraph"/>
        <w:numPr>
          <w:ilvl w:val="0"/>
          <w:numId w:val="24"/>
        </w:numPr>
      </w:pPr>
      <w:r>
        <w:t>Faculty and staff reference the established-high expectations often when praising, redirecting, or discussing behaviors with students and families.</w:t>
      </w:r>
    </w:p>
    <w:p w14:paraId="639905EC" w14:textId="77777777" w:rsidR="001C2DFC" w:rsidRDefault="001C2DFC" w:rsidP="00F57903">
      <w:pPr>
        <w:pStyle w:val="ListParagraph"/>
        <w:numPr>
          <w:ilvl w:val="0"/>
          <w:numId w:val="24"/>
        </w:numPr>
      </w:pPr>
      <w:r>
        <w:t>Faculty and staff treat all academic and social emotional challenges as opportunities for learning. Some call this process, growth mindset.</w:t>
      </w:r>
    </w:p>
    <w:p w14:paraId="16A8AAD5" w14:textId="77777777" w:rsidR="001C2DFC" w:rsidRDefault="001C2DFC" w:rsidP="00F57903">
      <w:pPr>
        <w:pStyle w:val="ListParagraph"/>
        <w:numPr>
          <w:ilvl w:val="0"/>
          <w:numId w:val="24"/>
        </w:numPr>
      </w:pPr>
      <w:r>
        <w:t xml:space="preserve">Information is available in the home language of families. </w:t>
      </w:r>
    </w:p>
    <w:p w14:paraId="7C37EACF" w14:textId="77777777" w:rsidR="001C2DFC" w:rsidRDefault="001C2DFC" w:rsidP="00F57903">
      <w:pPr>
        <w:pStyle w:val="ListParagraph"/>
        <w:numPr>
          <w:ilvl w:val="0"/>
          <w:numId w:val="24"/>
        </w:numPr>
      </w:pPr>
      <w:r>
        <w:t xml:space="preserve">Information is free of jargon and necessary technical terms are explained in understandable language. </w:t>
      </w:r>
    </w:p>
    <w:p w14:paraId="0499BF40" w14:textId="77777777" w:rsidR="001C2DFC" w:rsidRDefault="001C2DFC" w:rsidP="00F57903">
      <w:pPr>
        <w:pStyle w:val="ListParagraph"/>
        <w:numPr>
          <w:ilvl w:val="0"/>
          <w:numId w:val="24"/>
        </w:numPr>
      </w:pPr>
      <w:r>
        <w:t>Visuals accompanying written materials.</w:t>
      </w:r>
    </w:p>
    <w:p w14:paraId="77F6B577" w14:textId="77777777" w:rsidR="001C2DFC" w:rsidRDefault="001C2DFC" w:rsidP="00F57903">
      <w:pPr>
        <w:pStyle w:val="ListParagraph"/>
        <w:numPr>
          <w:ilvl w:val="0"/>
          <w:numId w:val="24"/>
        </w:numPr>
      </w:pPr>
      <w:r>
        <w:t xml:space="preserve">There are multiple ways for families to access information about their student’s progress, not just online. </w:t>
      </w:r>
    </w:p>
    <w:p w14:paraId="4B28F7FB" w14:textId="77777777" w:rsidR="001C2DFC" w:rsidRDefault="001C2DFC" w:rsidP="00F57903">
      <w:pPr>
        <w:pStyle w:val="ListParagraph"/>
        <w:numPr>
          <w:ilvl w:val="0"/>
          <w:numId w:val="24"/>
        </w:numPr>
      </w:pPr>
      <w:r>
        <w:t>Training and/or support for families regarding web-based student progress portals is available.</w:t>
      </w:r>
    </w:p>
    <w:p w14:paraId="4F791589" w14:textId="07F2DDC3" w:rsidR="001C2DFC" w:rsidRDefault="001C2DFC" w:rsidP="00F57903">
      <w:pPr>
        <w:pStyle w:val="ListParagraph"/>
        <w:numPr>
          <w:ilvl w:val="0"/>
          <w:numId w:val="24"/>
        </w:numPr>
      </w:pPr>
      <w:r>
        <w:t xml:space="preserve">Parent-to-parent phone trees and </w:t>
      </w:r>
      <w:r w:rsidR="00D00E7F">
        <w:t>family</w:t>
      </w:r>
      <w:r>
        <w:t xml:space="preserve"> phone directory.</w:t>
      </w:r>
    </w:p>
    <w:p w14:paraId="6679B356" w14:textId="77777777" w:rsidR="001C2DFC" w:rsidRDefault="001C2DFC" w:rsidP="00F57903">
      <w:pPr>
        <w:pStyle w:val="ListParagraph"/>
        <w:numPr>
          <w:ilvl w:val="0"/>
          <w:numId w:val="24"/>
        </w:numPr>
      </w:pPr>
      <w:r>
        <w:t>System to regularly update contact information.</w:t>
      </w:r>
    </w:p>
    <w:p w14:paraId="1311A666" w14:textId="77777777" w:rsidR="001C2DFC" w:rsidRDefault="001C2DFC" w:rsidP="00F57903">
      <w:pPr>
        <w:pStyle w:val="ListParagraph"/>
        <w:numPr>
          <w:ilvl w:val="0"/>
          <w:numId w:val="24"/>
        </w:numPr>
      </w:pPr>
      <w:r>
        <w:t>We solicit feedback from families in a variety of ways (e.g. surveys, family feedback phone lines, parent-teacher conferences).</w:t>
      </w:r>
    </w:p>
    <w:p w14:paraId="4170F16A" w14:textId="77777777" w:rsidR="001C2DFC" w:rsidRDefault="001C2DFC" w:rsidP="00F57903">
      <w:pPr>
        <w:pStyle w:val="ListParagraph"/>
        <w:numPr>
          <w:ilvl w:val="0"/>
          <w:numId w:val="24"/>
        </w:numPr>
      </w:pPr>
      <w:r>
        <w:t>We systematically monitor family participation and adjust to increase that participation.</w:t>
      </w:r>
    </w:p>
    <w:p w14:paraId="3149E42B" w14:textId="77777777" w:rsidR="001C2DFC" w:rsidRDefault="001C2DFC" w:rsidP="00F57903">
      <w:pPr>
        <w:pStyle w:val="ListParagraph"/>
        <w:numPr>
          <w:ilvl w:val="0"/>
          <w:numId w:val="24"/>
        </w:numPr>
      </w:pPr>
      <w:r>
        <w:t>Governance and advisory bodies representative of the diversity of the school.</w:t>
      </w:r>
    </w:p>
    <w:p w14:paraId="40DB51DD" w14:textId="77777777" w:rsidR="001C2DFC" w:rsidRDefault="001C2DFC" w:rsidP="00F57903">
      <w:pPr>
        <w:pStyle w:val="ListParagraph"/>
        <w:numPr>
          <w:ilvl w:val="0"/>
          <w:numId w:val="24"/>
        </w:numPr>
      </w:pPr>
      <w:r>
        <w:t>We know which families in our district speak languages other than English at home.</w:t>
      </w:r>
    </w:p>
    <w:p w14:paraId="2ABE21D9" w14:textId="63618AC4" w:rsidR="001C2DFC" w:rsidRDefault="00D843B4" w:rsidP="00F57903">
      <w:pPr>
        <w:pStyle w:val="ListParagraph"/>
        <w:numPr>
          <w:ilvl w:val="0"/>
          <w:numId w:val="24"/>
        </w:numPr>
      </w:pPr>
      <w:r>
        <w:t>Family-to-family</w:t>
      </w:r>
      <w:r w:rsidR="001C2DFC">
        <w:t xml:space="preserve"> networks exist that empower families to share their experiences and ideas with each other and the school.</w:t>
      </w:r>
    </w:p>
    <w:p w14:paraId="68D4B844" w14:textId="77777777" w:rsidR="001C2DFC" w:rsidRDefault="001C2DFC" w:rsidP="00F57903">
      <w:pPr>
        <w:pStyle w:val="ListParagraph"/>
        <w:numPr>
          <w:ilvl w:val="0"/>
          <w:numId w:val="24"/>
        </w:numPr>
      </w:pPr>
      <w:r>
        <w:t>Languages other than English are reflected in school decorations and material and are celebrated.</w:t>
      </w:r>
    </w:p>
    <w:p w14:paraId="436A9623" w14:textId="77777777" w:rsidR="001C2DFC" w:rsidRDefault="001C2DFC" w:rsidP="00F57903">
      <w:pPr>
        <w:pStyle w:val="ListParagraph"/>
        <w:numPr>
          <w:ilvl w:val="0"/>
          <w:numId w:val="24"/>
        </w:numPr>
      </w:pPr>
      <w:r>
        <w:t xml:space="preserve">Reviewing disaggregated data to identify gaps. </w:t>
      </w:r>
    </w:p>
    <w:p w14:paraId="18C562DF" w14:textId="77777777" w:rsidR="001C2DFC" w:rsidRDefault="001C2DFC" w:rsidP="001C2DFC">
      <w:pPr>
        <w:pStyle w:val="ListParagraph"/>
        <w:numPr>
          <w:ilvl w:val="0"/>
          <w:numId w:val="24"/>
        </w:numPr>
      </w:pPr>
      <w:r>
        <w:t xml:space="preserve">Executing a root cause analysis to strategize around gaps in participation. </w:t>
      </w:r>
    </w:p>
    <w:p w14:paraId="34767224" w14:textId="77D9E6C6" w:rsidR="001C2DFC" w:rsidRDefault="001C2DFC" w:rsidP="001C2DFC">
      <w:pPr>
        <w:pStyle w:val="ListParagraph"/>
        <w:numPr>
          <w:ilvl w:val="0"/>
          <w:numId w:val="24"/>
        </w:numPr>
      </w:pPr>
      <w:r>
        <w:t>Publish and address results of stakeholder surveys.</w:t>
      </w:r>
    </w:p>
    <w:p w14:paraId="7D772779" w14:textId="659D11F4" w:rsidR="006321CC" w:rsidRDefault="006321CC">
      <w:r>
        <w:br w:type="page"/>
      </w:r>
    </w:p>
    <w:p w14:paraId="1FCA8C83" w14:textId="5D5D2705" w:rsidR="001C2DFC" w:rsidRDefault="001C2DFC" w:rsidP="001C2DFC">
      <w:pPr>
        <w:pStyle w:val="Heading2"/>
      </w:pPr>
      <w:r>
        <w:lastRenderedPageBreak/>
        <w:t>Learning at Home</w:t>
      </w:r>
    </w:p>
    <w:p w14:paraId="03CAEAFB" w14:textId="77777777" w:rsidR="00B87A00" w:rsidRDefault="00B87A00" w:rsidP="00F57903">
      <w:pPr>
        <w:pStyle w:val="ListParagraph"/>
        <w:numPr>
          <w:ilvl w:val="0"/>
          <w:numId w:val="25"/>
        </w:numPr>
      </w:pPr>
      <w:r>
        <w:t>Homework folders.</w:t>
      </w:r>
    </w:p>
    <w:p w14:paraId="4B7362D5" w14:textId="77777777" w:rsidR="00B87A00" w:rsidRDefault="00B87A00" w:rsidP="00F57903">
      <w:pPr>
        <w:pStyle w:val="ListParagraph"/>
        <w:numPr>
          <w:ilvl w:val="0"/>
          <w:numId w:val="25"/>
        </w:numPr>
      </w:pPr>
      <w:r>
        <w:t>Guiding questions to ask students when reading.</w:t>
      </w:r>
    </w:p>
    <w:p w14:paraId="28B430EE" w14:textId="77777777" w:rsidR="00B87A00" w:rsidRDefault="00B87A00" w:rsidP="00F57903">
      <w:pPr>
        <w:pStyle w:val="ListParagraph"/>
        <w:numPr>
          <w:ilvl w:val="0"/>
          <w:numId w:val="25"/>
        </w:numPr>
      </w:pPr>
      <w:r>
        <w:t>Parent-teacher conferences used to suggest and model specific learning support strategies.</w:t>
      </w:r>
    </w:p>
    <w:p w14:paraId="261A20E9" w14:textId="77777777" w:rsidR="00B87A00" w:rsidRDefault="00B87A00" w:rsidP="00F57903">
      <w:pPr>
        <w:pStyle w:val="ListParagraph"/>
        <w:numPr>
          <w:ilvl w:val="0"/>
          <w:numId w:val="25"/>
        </w:numPr>
      </w:pPr>
      <w:proofErr w:type="gramStart"/>
      <w:r>
        <w:t>Mini-lessons</w:t>
      </w:r>
      <w:proofErr w:type="gramEnd"/>
      <w:r>
        <w:t xml:space="preserve"> of how subjects are being taught in class in person or via YouTube.</w:t>
      </w:r>
    </w:p>
    <w:p w14:paraId="477DBF01" w14:textId="77777777" w:rsidR="00B87A00" w:rsidRDefault="00B87A00" w:rsidP="00F57903">
      <w:pPr>
        <w:pStyle w:val="ListParagraph"/>
        <w:numPr>
          <w:ilvl w:val="0"/>
          <w:numId w:val="25"/>
        </w:numPr>
      </w:pPr>
      <w:r>
        <w:t>Interactive homework assignments.</w:t>
      </w:r>
    </w:p>
    <w:p w14:paraId="5C813869" w14:textId="77777777" w:rsidR="00B87A00" w:rsidRDefault="00B87A00" w:rsidP="00F57903">
      <w:pPr>
        <w:pStyle w:val="ListParagraph"/>
        <w:numPr>
          <w:ilvl w:val="0"/>
          <w:numId w:val="25"/>
        </w:numPr>
      </w:pPr>
      <w:r>
        <w:t>Family-supported learning centers.</w:t>
      </w:r>
    </w:p>
    <w:p w14:paraId="45DB3405" w14:textId="77777777" w:rsidR="00B87A00" w:rsidRDefault="00B87A00" w:rsidP="00F57903">
      <w:pPr>
        <w:pStyle w:val="ListParagraph"/>
        <w:numPr>
          <w:ilvl w:val="0"/>
          <w:numId w:val="25"/>
        </w:numPr>
      </w:pPr>
      <w:r>
        <w:t>Homework hotline.</w:t>
      </w:r>
    </w:p>
    <w:p w14:paraId="6460F145" w14:textId="77777777" w:rsidR="00B87A00" w:rsidRDefault="00B87A00" w:rsidP="00F57903">
      <w:pPr>
        <w:pStyle w:val="ListParagraph"/>
        <w:numPr>
          <w:ilvl w:val="0"/>
          <w:numId w:val="25"/>
        </w:numPr>
      </w:pPr>
      <w:r>
        <w:t>Weekly classroom communication about upcoming homework and topics being taught.</w:t>
      </w:r>
    </w:p>
    <w:p w14:paraId="16CC6B49" w14:textId="77777777" w:rsidR="00B87A00" w:rsidRDefault="00B87A00" w:rsidP="00F57903">
      <w:pPr>
        <w:pStyle w:val="ListParagraph"/>
        <w:numPr>
          <w:ilvl w:val="0"/>
          <w:numId w:val="25"/>
        </w:numPr>
      </w:pPr>
      <w:r>
        <w:t xml:space="preserve">Helping </w:t>
      </w:r>
      <w:proofErr w:type="gramStart"/>
      <w:r>
        <w:t>families</w:t>
      </w:r>
      <w:proofErr w:type="gramEnd"/>
      <w:r>
        <w:t xml:space="preserve"> network and/or get resources to contribute to school improvement.</w:t>
      </w:r>
    </w:p>
    <w:p w14:paraId="64289202" w14:textId="77777777" w:rsidR="00B87A00" w:rsidRDefault="00B87A00" w:rsidP="00F57903">
      <w:pPr>
        <w:pStyle w:val="ListParagraph"/>
        <w:numPr>
          <w:ilvl w:val="0"/>
          <w:numId w:val="25"/>
        </w:numPr>
      </w:pPr>
      <w:r>
        <w:t>Surveys, focus groups, and other methods to solicit families’ ideas about challenges and solutions.</w:t>
      </w:r>
    </w:p>
    <w:p w14:paraId="65807704" w14:textId="77777777" w:rsidR="00B87A00" w:rsidRDefault="00B87A00" w:rsidP="00F57903">
      <w:pPr>
        <w:pStyle w:val="ListParagraph"/>
        <w:numPr>
          <w:ilvl w:val="0"/>
          <w:numId w:val="25"/>
        </w:numPr>
      </w:pPr>
      <w:r>
        <w:t>We seek insight into each family’s unique traditions, cultures, and experiences and building on that during the school day and work sent home.</w:t>
      </w:r>
    </w:p>
    <w:p w14:paraId="1F833C6B" w14:textId="77777777" w:rsidR="00B87A00" w:rsidRDefault="00B87A00" w:rsidP="00F57903">
      <w:pPr>
        <w:pStyle w:val="ListParagraph"/>
        <w:numPr>
          <w:ilvl w:val="0"/>
          <w:numId w:val="25"/>
        </w:numPr>
      </w:pPr>
      <w:r>
        <w:t>We send guided reading prompts home in the home language of a family and have books in their home language are available.</w:t>
      </w:r>
    </w:p>
    <w:p w14:paraId="2A69310D" w14:textId="717F4878" w:rsidR="00B87A00" w:rsidRDefault="00B87A00" w:rsidP="00B87A00">
      <w:pPr>
        <w:pStyle w:val="Heading2"/>
      </w:pPr>
      <w:r>
        <w:t>Community Partnerships</w:t>
      </w:r>
    </w:p>
    <w:p w14:paraId="5AA44A01" w14:textId="6209BB74" w:rsidR="00B87A00" w:rsidRDefault="00B87A00" w:rsidP="00F57903">
      <w:pPr>
        <w:pStyle w:val="ListParagraph"/>
        <w:numPr>
          <w:ilvl w:val="0"/>
          <w:numId w:val="25"/>
        </w:numPr>
      </w:pPr>
      <w:r>
        <w:t>We work with schools from which our students matriculate to provide opportunities for students and families to visit our building.</w:t>
      </w:r>
    </w:p>
    <w:p w14:paraId="21003A58" w14:textId="77777777" w:rsidR="00B87A00" w:rsidRDefault="00B87A00" w:rsidP="00B87A00">
      <w:pPr>
        <w:pStyle w:val="ListParagraph"/>
        <w:numPr>
          <w:ilvl w:val="0"/>
          <w:numId w:val="25"/>
        </w:numPr>
      </w:pPr>
      <w:r>
        <w:t>We work with schools to which our student will matriculate to provide opportunities for students and families to visit their building.</w:t>
      </w:r>
    </w:p>
    <w:p w14:paraId="59AECC5F" w14:textId="5154A5A6" w:rsidR="00B87A00" w:rsidRDefault="00B87A00" w:rsidP="00B87A00">
      <w:pPr>
        <w:pStyle w:val="ListParagraph"/>
        <w:numPr>
          <w:ilvl w:val="0"/>
          <w:numId w:val="25"/>
        </w:numPr>
      </w:pPr>
      <w:r>
        <w:t>We work with other educational partners in the area to maintain cohesive educational service plans for students.</w:t>
      </w:r>
    </w:p>
    <w:p w14:paraId="6644125E" w14:textId="77777777" w:rsidR="00B87A00" w:rsidRDefault="00B87A00" w:rsidP="00B87A00">
      <w:pPr>
        <w:pStyle w:val="ListParagraph"/>
        <w:numPr>
          <w:ilvl w:val="0"/>
          <w:numId w:val="25"/>
        </w:numPr>
      </w:pPr>
      <w:r>
        <w:t>Signs in families’ native language(s) Clear and consistent visitor policy.</w:t>
      </w:r>
    </w:p>
    <w:p w14:paraId="5C817AF6" w14:textId="77777777" w:rsidR="00B87A00" w:rsidRDefault="00B87A00" w:rsidP="00B87A00">
      <w:pPr>
        <w:pStyle w:val="ListParagraph"/>
        <w:numPr>
          <w:ilvl w:val="0"/>
          <w:numId w:val="25"/>
        </w:numPr>
      </w:pPr>
      <w:r>
        <w:t>We have partners that address the needs of our students and families.</w:t>
      </w:r>
    </w:p>
    <w:p w14:paraId="6E570EE6" w14:textId="77777777" w:rsidR="00B87A00" w:rsidRDefault="00B87A00" w:rsidP="00B87A00">
      <w:pPr>
        <w:pStyle w:val="ListParagraph"/>
        <w:numPr>
          <w:ilvl w:val="0"/>
          <w:numId w:val="25"/>
        </w:numPr>
      </w:pPr>
      <w:r>
        <w:t xml:space="preserve">School-based activities are student or family led. </w:t>
      </w:r>
    </w:p>
    <w:p w14:paraId="1CE37E19" w14:textId="77777777" w:rsidR="00B87A00" w:rsidRDefault="00B87A00" w:rsidP="00B87A00">
      <w:pPr>
        <w:pStyle w:val="ListParagraph"/>
        <w:numPr>
          <w:ilvl w:val="0"/>
          <w:numId w:val="25"/>
        </w:numPr>
      </w:pPr>
      <w:r>
        <w:t xml:space="preserve">Transportation options available. </w:t>
      </w:r>
    </w:p>
    <w:p w14:paraId="5E695853" w14:textId="77777777" w:rsidR="00B87A00" w:rsidRDefault="00B87A00" w:rsidP="00B87A00">
      <w:pPr>
        <w:pStyle w:val="ListParagraph"/>
        <w:numPr>
          <w:ilvl w:val="0"/>
          <w:numId w:val="25"/>
        </w:numPr>
      </w:pPr>
      <w:r>
        <w:t xml:space="preserve">School-based meetings are scheduled outside of normal work hours. </w:t>
      </w:r>
    </w:p>
    <w:p w14:paraId="0A6E60CA" w14:textId="77777777" w:rsidR="00B87A00" w:rsidRDefault="00B87A00" w:rsidP="00B87A00">
      <w:pPr>
        <w:pStyle w:val="ListParagraph"/>
        <w:numPr>
          <w:ilvl w:val="0"/>
          <w:numId w:val="25"/>
        </w:numPr>
      </w:pPr>
      <w:r>
        <w:t>Childcare is available so families can fully participate.</w:t>
      </w:r>
    </w:p>
    <w:p w14:paraId="4783E9CB" w14:textId="77777777" w:rsidR="00B87A00" w:rsidRDefault="00B87A00" w:rsidP="00B87A00">
      <w:pPr>
        <w:pStyle w:val="ListParagraph"/>
        <w:numPr>
          <w:ilvl w:val="0"/>
          <w:numId w:val="25"/>
        </w:numPr>
      </w:pPr>
      <w:r>
        <w:t>Translation services provided.</w:t>
      </w:r>
    </w:p>
    <w:p w14:paraId="2AACE45E" w14:textId="77777777" w:rsidR="00B87A00" w:rsidRDefault="00B87A00" w:rsidP="00B87A00">
      <w:pPr>
        <w:pStyle w:val="ListParagraph"/>
        <w:numPr>
          <w:ilvl w:val="0"/>
          <w:numId w:val="25"/>
        </w:numPr>
      </w:pPr>
      <w:r>
        <w:t xml:space="preserve">Take home packets with information and activities for those who could not attend. </w:t>
      </w:r>
    </w:p>
    <w:p w14:paraId="45C1B8E6" w14:textId="77777777" w:rsidR="00B87A00" w:rsidRDefault="00B87A00" w:rsidP="00B87A00">
      <w:pPr>
        <w:pStyle w:val="ListParagraph"/>
        <w:numPr>
          <w:ilvl w:val="0"/>
          <w:numId w:val="25"/>
        </w:numPr>
      </w:pPr>
      <w:r>
        <w:t xml:space="preserve">Community partners reflect our shared high expectations by reflecting our shared language in their material and when speaking to stakeholders. </w:t>
      </w:r>
    </w:p>
    <w:p w14:paraId="33DF25B9" w14:textId="77777777" w:rsidR="00B87A00" w:rsidRDefault="00B87A00" w:rsidP="00B87A00">
      <w:pPr>
        <w:pStyle w:val="ListParagraph"/>
        <w:numPr>
          <w:ilvl w:val="0"/>
          <w:numId w:val="25"/>
        </w:numPr>
      </w:pPr>
      <w:r>
        <w:t>Our community partners and we have shared goals.</w:t>
      </w:r>
    </w:p>
    <w:p w14:paraId="12B6FFB4" w14:textId="77777777" w:rsidR="00B87A00" w:rsidRDefault="00B87A00" w:rsidP="00B87A00">
      <w:pPr>
        <w:pStyle w:val="ListParagraph"/>
        <w:numPr>
          <w:ilvl w:val="0"/>
          <w:numId w:val="25"/>
        </w:numPr>
      </w:pPr>
      <w:r>
        <w:t xml:space="preserve">Members of our faculty and staff attend leadership meetings of our community partners by invitation. </w:t>
      </w:r>
    </w:p>
    <w:p w14:paraId="117C5989" w14:textId="77777777" w:rsidR="00B87A00" w:rsidRDefault="00B87A00" w:rsidP="00B87A00">
      <w:pPr>
        <w:pStyle w:val="ListParagraph"/>
        <w:numPr>
          <w:ilvl w:val="0"/>
          <w:numId w:val="25"/>
        </w:numPr>
      </w:pPr>
      <w:r>
        <w:t>Principal-led community walkthroughs.</w:t>
      </w:r>
    </w:p>
    <w:p w14:paraId="6A8398A3" w14:textId="77777777" w:rsidR="00B87A00" w:rsidRDefault="00B87A00" w:rsidP="00B87A00">
      <w:pPr>
        <w:pStyle w:val="ListParagraph"/>
        <w:numPr>
          <w:ilvl w:val="0"/>
          <w:numId w:val="25"/>
        </w:numPr>
      </w:pPr>
      <w:r>
        <w:t>Opportunities for families to act in leadership roles (e.g., Board member)</w:t>
      </w:r>
    </w:p>
    <w:p w14:paraId="55838413" w14:textId="77777777" w:rsidR="00B87A00" w:rsidRDefault="00B87A00" w:rsidP="00B87A00">
      <w:pPr>
        <w:pStyle w:val="ListParagraph"/>
        <w:numPr>
          <w:ilvl w:val="0"/>
          <w:numId w:val="25"/>
        </w:numPr>
      </w:pPr>
      <w:r>
        <w:t>Participate in the delivery of our school plan (e.g., contributing to leadership teams, input in planning for implementation, opportunities for feedback)</w:t>
      </w:r>
    </w:p>
    <w:p w14:paraId="316EA518" w14:textId="77777777" w:rsidR="00B87A00" w:rsidRDefault="00B87A00" w:rsidP="00B87A00">
      <w:pPr>
        <w:pStyle w:val="ListParagraph"/>
        <w:numPr>
          <w:ilvl w:val="0"/>
          <w:numId w:val="25"/>
        </w:numPr>
      </w:pPr>
      <w:r>
        <w:t>Opportunities to volunteer for school activities and events</w:t>
      </w:r>
    </w:p>
    <w:p w14:paraId="7CC05B89" w14:textId="1641C2DF" w:rsidR="008F7948" w:rsidRDefault="00B87A00" w:rsidP="00B87A00">
      <w:pPr>
        <w:pStyle w:val="ListParagraph"/>
        <w:numPr>
          <w:ilvl w:val="0"/>
          <w:numId w:val="25"/>
        </w:numPr>
      </w:pPr>
      <w:r>
        <w:t>Opportunities to provide unique learning experiences for students (e.g., fieldwork, experts, service learning).</w:t>
      </w:r>
    </w:p>
    <w:p w14:paraId="73DD9E41" w14:textId="77777777" w:rsidR="008F7948" w:rsidRDefault="008F7948">
      <w:r>
        <w:br w:type="page"/>
      </w:r>
    </w:p>
    <w:p w14:paraId="376E1C55" w14:textId="7F8C90AB" w:rsidR="00B87A00" w:rsidRPr="006321CC" w:rsidRDefault="006321CC" w:rsidP="006321CC">
      <w:pPr>
        <w:pStyle w:val="Heading1"/>
        <w:jc w:val="center"/>
        <w:rPr>
          <w:b/>
          <w:bCs/>
        </w:rPr>
      </w:pPr>
      <w:r w:rsidRPr="006321CC">
        <w:rPr>
          <w:b/>
          <w:bCs/>
        </w:rPr>
        <w:lastRenderedPageBreak/>
        <w:t>Sources</w:t>
      </w:r>
    </w:p>
    <w:p w14:paraId="44D93D98" w14:textId="77777777" w:rsidR="00AD01BF" w:rsidRDefault="00AD01BF" w:rsidP="00AD01BF">
      <w:pPr>
        <w:ind w:left="360" w:hanging="360"/>
      </w:pPr>
    </w:p>
    <w:p w14:paraId="1BBB75C2" w14:textId="2FD9D326" w:rsidR="00AD01BF" w:rsidRPr="00AD01BF" w:rsidRDefault="00AD01BF" w:rsidP="00AD01BF">
      <w:pPr>
        <w:ind w:left="360" w:hanging="360"/>
      </w:pPr>
      <w:r w:rsidRPr="00AD01BF">
        <w:t xml:space="preserve">Boone, B. &amp; Wellman, M. (2018). Partnerships for Literacy Series. Retrieved from </w:t>
      </w:r>
      <w:hyperlink r:id="rId30" w:history="1">
        <w:r w:rsidRPr="00AD01BF">
          <w:rPr>
            <w:rStyle w:val="Hyperlink"/>
          </w:rPr>
          <w:t>https://ohiofamiliesengage.osu.edu</w:t>
        </w:r>
      </w:hyperlink>
      <w:r>
        <w:t xml:space="preserve"> </w:t>
      </w:r>
      <w:r w:rsidRPr="00AD01BF">
        <w:t xml:space="preserve"> </w:t>
      </w:r>
    </w:p>
    <w:p w14:paraId="205149A3" w14:textId="31C7CB13" w:rsidR="00AD01BF" w:rsidRPr="00AD01BF" w:rsidRDefault="00AD01BF" w:rsidP="00AD01BF">
      <w:pPr>
        <w:ind w:left="360" w:hanging="360"/>
      </w:pPr>
      <w:r>
        <w:t xml:space="preserve">EL Education. (2019). </w:t>
      </w:r>
      <w:r>
        <w:rPr>
          <w:i/>
          <w:iCs/>
        </w:rPr>
        <w:t>Implementation Review Instrument.</w:t>
      </w:r>
      <w:r>
        <w:t xml:space="preserve"> </w:t>
      </w:r>
      <w:hyperlink r:id="rId31" w:history="1">
        <w:r w:rsidRPr="00721FA4">
          <w:rPr>
            <w:rStyle w:val="Hyperlink"/>
          </w:rPr>
          <w:t>https://eleducation.org/resources/type/progress-monitoring-tools</w:t>
        </w:r>
      </w:hyperlink>
      <w:r>
        <w:t xml:space="preserve"> </w:t>
      </w:r>
    </w:p>
    <w:p w14:paraId="5700E79B" w14:textId="77777777" w:rsidR="00AD01BF" w:rsidRDefault="00AD01BF" w:rsidP="00AD01BF">
      <w:pPr>
        <w:ind w:left="360" w:hanging="360"/>
      </w:pPr>
      <w:proofErr w:type="spellStart"/>
      <w:r>
        <w:t>Flamboyan</w:t>
      </w:r>
      <w:proofErr w:type="spellEnd"/>
      <w:r>
        <w:t xml:space="preserve"> Foundation. (2019, October 1).</w:t>
      </w:r>
      <w:r w:rsidRPr="00A315A8">
        <w:t xml:space="preserve"> </w:t>
      </w:r>
      <w:r w:rsidRPr="00A315A8">
        <w:rPr>
          <w:i/>
          <w:iCs/>
        </w:rPr>
        <w:t>School-Wide Family Engagement Rubric</w:t>
      </w:r>
      <w:r>
        <w:t xml:space="preserve">. </w:t>
      </w:r>
      <w:hyperlink r:id="rId32" w:history="1">
        <w:r>
          <w:rPr>
            <w:rStyle w:val="Hyperlink"/>
          </w:rPr>
          <w:t>https://flamboyanfoundation.org/resource/school-wide-family-engagement-rubric/</w:t>
        </w:r>
      </w:hyperlink>
    </w:p>
    <w:p w14:paraId="26F8945F" w14:textId="77777777" w:rsidR="00AD01BF" w:rsidRPr="00F57903" w:rsidRDefault="00AD01BF" w:rsidP="00AD01BF">
      <w:pPr>
        <w:ind w:left="360" w:hanging="360"/>
      </w:pPr>
      <w:r>
        <w:t xml:space="preserve">Reform Support Network (2014, December). </w:t>
      </w:r>
      <w:r w:rsidRPr="00F57903">
        <w:rPr>
          <w:i/>
          <w:iCs/>
        </w:rPr>
        <w:t>Communications and Engagement Assessment Rubric A Tool to Help State Education Agencies Assess Their Current Efforts to Communicate with and Engage Stakeholders and Consider Options for Improvement.</w:t>
      </w:r>
      <w:r>
        <w:rPr>
          <w:i/>
          <w:iCs/>
        </w:rPr>
        <w:t xml:space="preserve"> </w:t>
      </w:r>
      <w:r>
        <w:t xml:space="preserve">Building State Capacity and Productivity Center. </w:t>
      </w:r>
      <w:hyperlink r:id="rId33" w:history="1">
        <w:r w:rsidRPr="00721FA4">
          <w:rPr>
            <w:rStyle w:val="Hyperlink"/>
          </w:rPr>
          <w:t>http://www.bscpcenter.org/communications/assets/communications-assessment-rubric_compliant.pdf</w:t>
        </w:r>
      </w:hyperlink>
      <w:r>
        <w:t xml:space="preserve"> </w:t>
      </w:r>
    </w:p>
    <w:p w14:paraId="1A7A93C6" w14:textId="05474772" w:rsidR="008F7948" w:rsidRPr="00A315A8" w:rsidRDefault="00A315A8" w:rsidP="00AD01BF">
      <w:pPr>
        <w:ind w:left="360" w:hanging="360"/>
      </w:pPr>
      <w:r>
        <w:t xml:space="preserve">Ward, </w:t>
      </w:r>
      <w:r w:rsidR="008472F0">
        <w:t>T</w:t>
      </w:r>
      <w:r>
        <w:t>.F. &amp; Spangler, S. (2020, May 14</w:t>
      </w:r>
      <w:r w:rsidRPr="00A315A8">
        <w:rPr>
          <w:i/>
          <w:iCs/>
        </w:rPr>
        <w:t>). Essential Questions for 2020-2021 Reopening: A Planning Workbook for Education Leaders</w:t>
      </w:r>
      <w:r>
        <w:rPr>
          <w:i/>
          <w:iCs/>
        </w:rPr>
        <w:t>.</w:t>
      </w:r>
      <w:r>
        <w:t xml:space="preserve"> Bellwether Education Partners. </w:t>
      </w:r>
      <w:hyperlink r:id="rId34" w:history="1">
        <w:r w:rsidRPr="00721FA4">
          <w:rPr>
            <w:rStyle w:val="Hyperlink"/>
          </w:rPr>
          <w:t>https://bellwethereducation.org/publication/essential-questions-2020-2021-reopening-planning-workbook-education-leaders</w:t>
        </w:r>
      </w:hyperlink>
      <w:r>
        <w:t xml:space="preserve"> </w:t>
      </w:r>
    </w:p>
    <w:p w14:paraId="53961E91" w14:textId="77777777" w:rsidR="008472F0" w:rsidRPr="008F7948" w:rsidRDefault="008472F0" w:rsidP="008F7948"/>
    <w:p w14:paraId="3763AC45" w14:textId="77777777" w:rsidR="00B87A00" w:rsidRPr="00B87A00" w:rsidRDefault="00B87A00" w:rsidP="00B87A00">
      <w:pPr>
        <w:ind w:left="360"/>
      </w:pPr>
    </w:p>
    <w:p w14:paraId="540DFEF0" w14:textId="77777777" w:rsidR="00687851" w:rsidRPr="00B87A00" w:rsidRDefault="00687851" w:rsidP="00687851">
      <w:pPr>
        <w:ind w:left="360"/>
      </w:pPr>
    </w:p>
    <w:p w14:paraId="37FA2C0B" w14:textId="77777777" w:rsidR="00687851" w:rsidRPr="001C2DFC" w:rsidRDefault="00687851" w:rsidP="00687851">
      <w:r>
        <w:rPr>
          <w:noProof/>
        </w:rPr>
        <w:drawing>
          <wp:anchor distT="0" distB="0" distL="114300" distR="114300" simplePos="0" relativeHeight="251658241" behindDoc="0" locked="0" layoutInCell="1" allowOverlap="1" wp14:anchorId="137884E8" wp14:editId="118F62C5">
            <wp:simplePos x="0" y="0"/>
            <wp:positionH relativeFrom="column">
              <wp:posOffset>-69407</wp:posOffset>
            </wp:positionH>
            <wp:positionV relativeFrom="paragraph">
              <wp:posOffset>4302436</wp:posOffset>
            </wp:positionV>
            <wp:extent cx="2277370" cy="569343"/>
            <wp:effectExtent l="0" t="0" r="0" b="0"/>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35">
                      <a:extLst>
                        <a:ext uri="{28A0092B-C50C-407E-A947-70E740481C1C}">
                          <a14:useLocalDpi xmlns:a14="http://schemas.microsoft.com/office/drawing/2010/main" val="0"/>
                        </a:ext>
                      </a:extLst>
                    </a:blip>
                    <a:stretch>
                      <a:fillRect/>
                    </a:stretch>
                  </pic:blipFill>
                  <pic:spPr>
                    <a:xfrm>
                      <a:off x="0" y="0"/>
                      <a:ext cx="2277370" cy="569343"/>
                    </a:xfrm>
                    <a:prstGeom prst="rect">
                      <a:avLst/>
                    </a:prstGeom>
                  </pic:spPr>
                </pic:pic>
              </a:graphicData>
            </a:graphic>
            <wp14:sizeRelH relativeFrom="page">
              <wp14:pctWidth>0</wp14:pctWidth>
            </wp14:sizeRelH>
            <wp14:sizeRelV relativeFrom="page">
              <wp14:pctHeight>0</wp14:pctHeight>
            </wp14:sizeRelV>
          </wp:anchor>
        </w:drawing>
      </w:r>
      <w:r>
        <w:t xml:space="preserve">Suggested Citation: Capretta, T., Bachman, H., Boone, B., &amp; Wellman, M. (2021). Family Engagement Needs Assessment for Building Leadership Teams. The Ohio State University. Retrieved from </w:t>
      </w:r>
      <w:hyperlink r:id="rId36" w:history="1">
        <w:r w:rsidRPr="00C45196">
          <w:rPr>
            <w:rStyle w:val="Hyperlink"/>
          </w:rPr>
          <w:t>https://ohiofamiliesengage.osu.edu</w:t>
        </w:r>
      </w:hyperlink>
      <w:r>
        <w:t xml:space="preserve">. </w:t>
      </w:r>
    </w:p>
    <w:p w14:paraId="54C9CC97" w14:textId="371ED376" w:rsidR="001C2DFC" w:rsidRPr="001C2DFC" w:rsidRDefault="006321CC" w:rsidP="001C2DFC">
      <w:r>
        <w:rPr>
          <w:noProof/>
        </w:rPr>
        <w:drawing>
          <wp:anchor distT="0" distB="0" distL="114300" distR="114300" simplePos="0" relativeHeight="251658240" behindDoc="0" locked="0" layoutInCell="1" allowOverlap="1" wp14:anchorId="34A31DF3" wp14:editId="266AF142">
            <wp:simplePos x="0" y="0"/>
            <wp:positionH relativeFrom="column">
              <wp:posOffset>-69407</wp:posOffset>
            </wp:positionH>
            <wp:positionV relativeFrom="paragraph">
              <wp:posOffset>4302436</wp:posOffset>
            </wp:positionV>
            <wp:extent cx="2277370" cy="569343"/>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35">
                      <a:extLst>
                        <a:ext uri="{28A0092B-C50C-407E-A947-70E740481C1C}">
                          <a14:useLocalDpi xmlns:a14="http://schemas.microsoft.com/office/drawing/2010/main" val="0"/>
                        </a:ext>
                      </a:extLst>
                    </a:blip>
                    <a:stretch>
                      <a:fillRect/>
                    </a:stretch>
                  </pic:blipFill>
                  <pic:spPr>
                    <a:xfrm>
                      <a:off x="0" y="0"/>
                      <a:ext cx="2277370" cy="569343"/>
                    </a:xfrm>
                    <a:prstGeom prst="rect">
                      <a:avLst/>
                    </a:prstGeom>
                  </pic:spPr>
                </pic:pic>
              </a:graphicData>
            </a:graphic>
            <wp14:sizeRelH relativeFrom="page">
              <wp14:pctWidth>0</wp14:pctWidth>
            </wp14:sizeRelH>
            <wp14:sizeRelV relativeFrom="page">
              <wp14:pctHeight>0</wp14:pctHeight>
            </wp14:sizeRelV>
          </wp:anchor>
        </w:drawing>
      </w:r>
    </w:p>
    <w:sectPr w:rsidR="001C2DFC" w:rsidRPr="001C2DFC" w:rsidSect="00BF47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E7243" w14:textId="77777777" w:rsidR="001F11D2" w:rsidRDefault="001F11D2" w:rsidP="00086B58">
      <w:pPr>
        <w:spacing w:after="0" w:line="240" w:lineRule="auto"/>
      </w:pPr>
      <w:r>
        <w:separator/>
      </w:r>
    </w:p>
  </w:endnote>
  <w:endnote w:type="continuationSeparator" w:id="0">
    <w:p w14:paraId="22B711AC" w14:textId="77777777" w:rsidR="001F11D2" w:rsidRDefault="001F11D2" w:rsidP="00086B58">
      <w:pPr>
        <w:spacing w:after="0" w:line="240" w:lineRule="auto"/>
      </w:pPr>
      <w:r>
        <w:continuationSeparator/>
      </w:r>
    </w:p>
  </w:endnote>
  <w:endnote w:type="continuationNotice" w:id="1">
    <w:p w14:paraId="350CA611" w14:textId="77777777" w:rsidR="00470BA6" w:rsidRDefault="00470B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174EE" w14:textId="77777777" w:rsidR="001F11D2" w:rsidRDefault="001F11D2" w:rsidP="00086B58">
      <w:pPr>
        <w:spacing w:after="0" w:line="240" w:lineRule="auto"/>
      </w:pPr>
      <w:r>
        <w:separator/>
      </w:r>
    </w:p>
  </w:footnote>
  <w:footnote w:type="continuationSeparator" w:id="0">
    <w:p w14:paraId="56963610" w14:textId="77777777" w:rsidR="001F11D2" w:rsidRDefault="001F11D2" w:rsidP="00086B58">
      <w:pPr>
        <w:spacing w:after="0" w:line="240" w:lineRule="auto"/>
      </w:pPr>
      <w:r>
        <w:continuationSeparator/>
      </w:r>
    </w:p>
  </w:footnote>
  <w:footnote w:type="continuationNotice" w:id="1">
    <w:p w14:paraId="1DC4838E" w14:textId="77777777" w:rsidR="00470BA6" w:rsidRDefault="00470B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68BD" w14:textId="0F2CD1FE" w:rsidR="00086B58" w:rsidRDefault="00086B58">
    <w:pPr>
      <w:pStyle w:val="Header"/>
    </w:pPr>
    <w:r>
      <w:rPr>
        <w:noProof/>
      </w:rPr>
      <w:drawing>
        <wp:inline distT="0" distB="0" distL="0" distR="0" wp14:anchorId="4580B3E5" wp14:editId="0D79E16E">
          <wp:extent cx="5943600" cy="826135"/>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826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2F1E"/>
    <w:multiLevelType w:val="hybridMultilevel"/>
    <w:tmpl w:val="9E58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266B2"/>
    <w:multiLevelType w:val="hybridMultilevel"/>
    <w:tmpl w:val="07C8C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D1987"/>
    <w:multiLevelType w:val="hybridMultilevel"/>
    <w:tmpl w:val="2268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44139"/>
    <w:multiLevelType w:val="hybridMultilevel"/>
    <w:tmpl w:val="D4F45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757EC"/>
    <w:multiLevelType w:val="hybridMultilevel"/>
    <w:tmpl w:val="7ADCB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929D2"/>
    <w:multiLevelType w:val="hybridMultilevel"/>
    <w:tmpl w:val="CD4C8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F7241C"/>
    <w:multiLevelType w:val="hybridMultilevel"/>
    <w:tmpl w:val="10583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80C30"/>
    <w:multiLevelType w:val="hybridMultilevel"/>
    <w:tmpl w:val="9CAAD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6542B"/>
    <w:multiLevelType w:val="hybridMultilevel"/>
    <w:tmpl w:val="93D4B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063FE"/>
    <w:multiLevelType w:val="hybridMultilevel"/>
    <w:tmpl w:val="A1D4C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42F56"/>
    <w:multiLevelType w:val="hybridMultilevel"/>
    <w:tmpl w:val="546A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E0F64"/>
    <w:multiLevelType w:val="hybridMultilevel"/>
    <w:tmpl w:val="21EC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B54092"/>
    <w:multiLevelType w:val="hybridMultilevel"/>
    <w:tmpl w:val="E52C7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9C3D04"/>
    <w:multiLevelType w:val="hybridMultilevel"/>
    <w:tmpl w:val="271C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922B4"/>
    <w:multiLevelType w:val="hybridMultilevel"/>
    <w:tmpl w:val="05AE4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FC2830"/>
    <w:multiLevelType w:val="hybridMultilevel"/>
    <w:tmpl w:val="CDF6D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9F2296"/>
    <w:multiLevelType w:val="hybridMultilevel"/>
    <w:tmpl w:val="173E0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B44D54"/>
    <w:multiLevelType w:val="hybridMultilevel"/>
    <w:tmpl w:val="9C003642"/>
    <w:lvl w:ilvl="0" w:tplc="CFE06DE0">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C0700"/>
    <w:multiLevelType w:val="hybridMultilevel"/>
    <w:tmpl w:val="84F2D9D6"/>
    <w:lvl w:ilvl="0" w:tplc="C1349D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E5596E"/>
    <w:multiLevelType w:val="hybridMultilevel"/>
    <w:tmpl w:val="56767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306D02"/>
    <w:multiLevelType w:val="hybridMultilevel"/>
    <w:tmpl w:val="4FB06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524670"/>
    <w:multiLevelType w:val="hybridMultilevel"/>
    <w:tmpl w:val="6412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ED6F07"/>
    <w:multiLevelType w:val="hybridMultilevel"/>
    <w:tmpl w:val="F27E6080"/>
    <w:lvl w:ilvl="0" w:tplc="E334C744">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6B11D1"/>
    <w:multiLevelType w:val="hybridMultilevel"/>
    <w:tmpl w:val="59E2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965C3D"/>
    <w:multiLevelType w:val="hybridMultilevel"/>
    <w:tmpl w:val="BC5A3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F40919"/>
    <w:multiLevelType w:val="hybridMultilevel"/>
    <w:tmpl w:val="7E343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D04D2D"/>
    <w:multiLevelType w:val="hybridMultilevel"/>
    <w:tmpl w:val="ECD42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7B2A22"/>
    <w:multiLevelType w:val="hybridMultilevel"/>
    <w:tmpl w:val="19A66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97349A"/>
    <w:multiLevelType w:val="hybridMultilevel"/>
    <w:tmpl w:val="8F263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86478A"/>
    <w:multiLevelType w:val="hybridMultilevel"/>
    <w:tmpl w:val="40FE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8F7B72"/>
    <w:multiLevelType w:val="hybridMultilevel"/>
    <w:tmpl w:val="42BA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E63D6F"/>
    <w:multiLevelType w:val="hybridMultilevel"/>
    <w:tmpl w:val="2802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F14BD8"/>
    <w:multiLevelType w:val="hybridMultilevel"/>
    <w:tmpl w:val="B2866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29"/>
  </w:num>
  <w:num w:numId="4">
    <w:abstractNumId w:val="18"/>
  </w:num>
  <w:num w:numId="5">
    <w:abstractNumId w:val="5"/>
  </w:num>
  <w:num w:numId="6">
    <w:abstractNumId w:val="1"/>
  </w:num>
  <w:num w:numId="7">
    <w:abstractNumId w:val="32"/>
  </w:num>
  <w:num w:numId="8">
    <w:abstractNumId w:val="23"/>
  </w:num>
  <w:num w:numId="9">
    <w:abstractNumId w:val="30"/>
  </w:num>
  <w:num w:numId="10">
    <w:abstractNumId w:val="8"/>
  </w:num>
  <w:num w:numId="11">
    <w:abstractNumId w:val="25"/>
  </w:num>
  <w:num w:numId="12">
    <w:abstractNumId w:val="16"/>
  </w:num>
  <w:num w:numId="13">
    <w:abstractNumId w:val="26"/>
  </w:num>
  <w:num w:numId="14">
    <w:abstractNumId w:val="13"/>
  </w:num>
  <w:num w:numId="15">
    <w:abstractNumId w:val="20"/>
  </w:num>
  <w:num w:numId="16">
    <w:abstractNumId w:val="14"/>
  </w:num>
  <w:num w:numId="17">
    <w:abstractNumId w:val="10"/>
  </w:num>
  <w:num w:numId="18">
    <w:abstractNumId w:val="6"/>
  </w:num>
  <w:num w:numId="19">
    <w:abstractNumId w:val="0"/>
  </w:num>
  <w:num w:numId="20">
    <w:abstractNumId w:val="3"/>
  </w:num>
  <w:num w:numId="21">
    <w:abstractNumId w:val="31"/>
  </w:num>
  <w:num w:numId="22">
    <w:abstractNumId w:val="11"/>
  </w:num>
  <w:num w:numId="23">
    <w:abstractNumId w:val="12"/>
  </w:num>
  <w:num w:numId="24">
    <w:abstractNumId w:val="7"/>
  </w:num>
  <w:num w:numId="25">
    <w:abstractNumId w:val="24"/>
  </w:num>
  <w:num w:numId="26">
    <w:abstractNumId w:val="2"/>
  </w:num>
  <w:num w:numId="27">
    <w:abstractNumId w:val="17"/>
  </w:num>
  <w:num w:numId="28">
    <w:abstractNumId w:val="22"/>
  </w:num>
  <w:num w:numId="29">
    <w:abstractNumId w:val="21"/>
  </w:num>
  <w:num w:numId="30">
    <w:abstractNumId w:val="9"/>
  </w:num>
  <w:num w:numId="31">
    <w:abstractNumId w:val="15"/>
  </w:num>
  <w:num w:numId="32">
    <w:abstractNumId w:val="19"/>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2sjQyNDUxNjU3MzdR0lEKTi0uzszPAykwqgUAr41STiwAAAA="/>
  </w:docVars>
  <w:rsids>
    <w:rsidRoot w:val="00D323E3"/>
    <w:rsid w:val="00002EDD"/>
    <w:rsid w:val="00041F05"/>
    <w:rsid w:val="000764B6"/>
    <w:rsid w:val="00086B58"/>
    <w:rsid w:val="000940C4"/>
    <w:rsid w:val="000D55B6"/>
    <w:rsid w:val="000E2326"/>
    <w:rsid w:val="001127AE"/>
    <w:rsid w:val="0011323A"/>
    <w:rsid w:val="00130707"/>
    <w:rsid w:val="00160016"/>
    <w:rsid w:val="00190D84"/>
    <w:rsid w:val="001C2DFC"/>
    <w:rsid w:val="001D366B"/>
    <w:rsid w:val="001E56C8"/>
    <w:rsid w:val="001F11D2"/>
    <w:rsid w:val="00225C90"/>
    <w:rsid w:val="002278F8"/>
    <w:rsid w:val="002413C1"/>
    <w:rsid w:val="00280F79"/>
    <w:rsid w:val="002D1F27"/>
    <w:rsid w:val="0030243B"/>
    <w:rsid w:val="00303139"/>
    <w:rsid w:val="00313B6D"/>
    <w:rsid w:val="00371DA9"/>
    <w:rsid w:val="00375C51"/>
    <w:rsid w:val="00391CB1"/>
    <w:rsid w:val="003C5E97"/>
    <w:rsid w:val="003E75FC"/>
    <w:rsid w:val="003F17CF"/>
    <w:rsid w:val="004166E6"/>
    <w:rsid w:val="0042651B"/>
    <w:rsid w:val="004709C4"/>
    <w:rsid w:val="00470BA6"/>
    <w:rsid w:val="00482B6B"/>
    <w:rsid w:val="00483403"/>
    <w:rsid w:val="004A635F"/>
    <w:rsid w:val="004D6F67"/>
    <w:rsid w:val="004F087C"/>
    <w:rsid w:val="0050325F"/>
    <w:rsid w:val="00505634"/>
    <w:rsid w:val="00505DBA"/>
    <w:rsid w:val="00521817"/>
    <w:rsid w:val="005621DC"/>
    <w:rsid w:val="005B2415"/>
    <w:rsid w:val="005F0D83"/>
    <w:rsid w:val="0061237D"/>
    <w:rsid w:val="006321CC"/>
    <w:rsid w:val="0063287B"/>
    <w:rsid w:val="00632A36"/>
    <w:rsid w:val="00632FE9"/>
    <w:rsid w:val="00640DBD"/>
    <w:rsid w:val="00662BF7"/>
    <w:rsid w:val="00687851"/>
    <w:rsid w:val="00705CD1"/>
    <w:rsid w:val="0072553A"/>
    <w:rsid w:val="007807CA"/>
    <w:rsid w:val="007E44C0"/>
    <w:rsid w:val="007F7AB8"/>
    <w:rsid w:val="008036BE"/>
    <w:rsid w:val="008472F0"/>
    <w:rsid w:val="00870588"/>
    <w:rsid w:val="008D541C"/>
    <w:rsid w:val="008F7948"/>
    <w:rsid w:val="009217F3"/>
    <w:rsid w:val="009612B4"/>
    <w:rsid w:val="00980DE3"/>
    <w:rsid w:val="00A315A8"/>
    <w:rsid w:val="00A41D7C"/>
    <w:rsid w:val="00A85B68"/>
    <w:rsid w:val="00AD01BF"/>
    <w:rsid w:val="00AD1C47"/>
    <w:rsid w:val="00B173CE"/>
    <w:rsid w:val="00B308AD"/>
    <w:rsid w:val="00B43564"/>
    <w:rsid w:val="00B63F1D"/>
    <w:rsid w:val="00B87A00"/>
    <w:rsid w:val="00BB7149"/>
    <w:rsid w:val="00BE23A1"/>
    <w:rsid w:val="00BF47AE"/>
    <w:rsid w:val="00C17359"/>
    <w:rsid w:val="00C17C30"/>
    <w:rsid w:val="00C206E9"/>
    <w:rsid w:val="00C47A1D"/>
    <w:rsid w:val="00C60636"/>
    <w:rsid w:val="00C7088E"/>
    <w:rsid w:val="00CD7930"/>
    <w:rsid w:val="00D00E7F"/>
    <w:rsid w:val="00D323E3"/>
    <w:rsid w:val="00D33F51"/>
    <w:rsid w:val="00D843B4"/>
    <w:rsid w:val="00D84FB3"/>
    <w:rsid w:val="00E11D8F"/>
    <w:rsid w:val="00E13547"/>
    <w:rsid w:val="00E31CA3"/>
    <w:rsid w:val="00E815D8"/>
    <w:rsid w:val="00EC6BC6"/>
    <w:rsid w:val="00F00F8C"/>
    <w:rsid w:val="00F57903"/>
    <w:rsid w:val="00FD2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00EE5"/>
  <w15:chartTrackingRefBased/>
  <w15:docId w15:val="{24FAA45B-D6C2-41B4-B3B3-F42739891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B58"/>
  </w:style>
  <w:style w:type="paragraph" w:styleId="Heading1">
    <w:name w:val="heading 1"/>
    <w:basedOn w:val="Normal"/>
    <w:next w:val="Normal"/>
    <w:link w:val="Heading1Char"/>
    <w:uiPriority w:val="9"/>
    <w:qFormat/>
    <w:rsid w:val="00086B58"/>
    <w:pPr>
      <w:keepNext/>
      <w:keepLines/>
      <w:pBdr>
        <w:bottom w:val="single" w:sz="4" w:space="1" w:color="969696" w:themeColor="accent1"/>
      </w:pBdr>
      <w:spacing w:before="400" w:after="40" w:line="240" w:lineRule="auto"/>
      <w:outlineLvl w:val="0"/>
    </w:pPr>
    <w:rPr>
      <w:rFonts w:asciiTheme="majorHAnsi" w:eastAsiaTheme="majorEastAsia" w:hAnsiTheme="majorHAnsi" w:cstheme="majorBidi"/>
      <w:color w:val="707070" w:themeColor="accent1" w:themeShade="BF"/>
      <w:sz w:val="36"/>
      <w:szCs w:val="36"/>
    </w:rPr>
  </w:style>
  <w:style w:type="paragraph" w:styleId="Heading2">
    <w:name w:val="heading 2"/>
    <w:basedOn w:val="Normal"/>
    <w:next w:val="Normal"/>
    <w:link w:val="Heading2Char"/>
    <w:uiPriority w:val="9"/>
    <w:unhideWhenUsed/>
    <w:qFormat/>
    <w:rsid w:val="00086B58"/>
    <w:pPr>
      <w:keepNext/>
      <w:keepLines/>
      <w:spacing w:before="160" w:after="0" w:line="240" w:lineRule="auto"/>
      <w:outlineLvl w:val="1"/>
    </w:pPr>
    <w:rPr>
      <w:rFonts w:asciiTheme="majorHAnsi" w:eastAsiaTheme="majorEastAsia" w:hAnsiTheme="majorHAnsi" w:cstheme="majorBidi"/>
      <w:color w:val="707070" w:themeColor="accent1" w:themeShade="BF"/>
      <w:sz w:val="28"/>
      <w:szCs w:val="28"/>
    </w:rPr>
  </w:style>
  <w:style w:type="paragraph" w:styleId="Heading3">
    <w:name w:val="heading 3"/>
    <w:basedOn w:val="Normal"/>
    <w:next w:val="Normal"/>
    <w:link w:val="Heading3Char"/>
    <w:uiPriority w:val="9"/>
    <w:semiHidden/>
    <w:unhideWhenUsed/>
    <w:qFormat/>
    <w:rsid w:val="00086B5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086B58"/>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086B58"/>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086B58"/>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086B58"/>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086B5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086B5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B58"/>
    <w:rPr>
      <w:rFonts w:asciiTheme="majorHAnsi" w:eastAsiaTheme="majorEastAsia" w:hAnsiTheme="majorHAnsi" w:cstheme="majorBidi"/>
      <w:color w:val="707070" w:themeColor="accent1" w:themeShade="BF"/>
      <w:sz w:val="36"/>
      <w:szCs w:val="36"/>
    </w:rPr>
  </w:style>
  <w:style w:type="character" w:customStyle="1" w:styleId="Heading2Char">
    <w:name w:val="Heading 2 Char"/>
    <w:basedOn w:val="DefaultParagraphFont"/>
    <w:link w:val="Heading2"/>
    <w:uiPriority w:val="9"/>
    <w:rsid w:val="00086B58"/>
    <w:rPr>
      <w:rFonts w:asciiTheme="majorHAnsi" w:eastAsiaTheme="majorEastAsia" w:hAnsiTheme="majorHAnsi" w:cstheme="majorBidi"/>
      <w:color w:val="707070" w:themeColor="accent1" w:themeShade="BF"/>
      <w:sz w:val="28"/>
      <w:szCs w:val="28"/>
    </w:rPr>
  </w:style>
  <w:style w:type="table" w:styleId="TableGrid">
    <w:name w:val="Table Grid"/>
    <w:basedOn w:val="TableNormal"/>
    <w:uiPriority w:val="39"/>
    <w:rsid w:val="00D32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5B68"/>
    <w:pPr>
      <w:ind w:left="720"/>
      <w:contextualSpacing/>
    </w:pPr>
  </w:style>
  <w:style w:type="character" w:styleId="CommentReference">
    <w:name w:val="annotation reference"/>
    <w:basedOn w:val="DefaultParagraphFont"/>
    <w:uiPriority w:val="99"/>
    <w:semiHidden/>
    <w:unhideWhenUsed/>
    <w:rsid w:val="004F087C"/>
    <w:rPr>
      <w:sz w:val="16"/>
      <w:szCs w:val="16"/>
    </w:rPr>
  </w:style>
  <w:style w:type="paragraph" w:styleId="CommentText">
    <w:name w:val="annotation text"/>
    <w:basedOn w:val="Normal"/>
    <w:link w:val="CommentTextChar"/>
    <w:uiPriority w:val="99"/>
    <w:semiHidden/>
    <w:unhideWhenUsed/>
    <w:rsid w:val="004F087C"/>
    <w:pPr>
      <w:spacing w:line="240" w:lineRule="auto"/>
    </w:pPr>
    <w:rPr>
      <w:sz w:val="20"/>
      <w:szCs w:val="20"/>
    </w:rPr>
  </w:style>
  <w:style w:type="character" w:customStyle="1" w:styleId="CommentTextChar">
    <w:name w:val="Comment Text Char"/>
    <w:basedOn w:val="DefaultParagraphFont"/>
    <w:link w:val="CommentText"/>
    <w:uiPriority w:val="99"/>
    <w:semiHidden/>
    <w:rsid w:val="004F087C"/>
    <w:rPr>
      <w:sz w:val="20"/>
      <w:szCs w:val="20"/>
    </w:rPr>
  </w:style>
  <w:style w:type="paragraph" w:styleId="CommentSubject">
    <w:name w:val="annotation subject"/>
    <w:basedOn w:val="CommentText"/>
    <w:next w:val="CommentText"/>
    <w:link w:val="CommentSubjectChar"/>
    <w:uiPriority w:val="99"/>
    <w:semiHidden/>
    <w:unhideWhenUsed/>
    <w:rsid w:val="004F087C"/>
    <w:rPr>
      <w:b/>
      <w:bCs/>
    </w:rPr>
  </w:style>
  <w:style w:type="character" w:customStyle="1" w:styleId="CommentSubjectChar">
    <w:name w:val="Comment Subject Char"/>
    <w:basedOn w:val="CommentTextChar"/>
    <w:link w:val="CommentSubject"/>
    <w:uiPriority w:val="99"/>
    <w:semiHidden/>
    <w:rsid w:val="004F087C"/>
    <w:rPr>
      <w:b/>
      <w:bCs/>
      <w:sz w:val="20"/>
      <w:szCs w:val="20"/>
    </w:rPr>
  </w:style>
  <w:style w:type="paragraph" w:styleId="BalloonText">
    <w:name w:val="Balloon Text"/>
    <w:basedOn w:val="Normal"/>
    <w:link w:val="BalloonTextChar"/>
    <w:uiPriority w:val="99"/>
    <w:semiHidden/>
    <w:unhideWhenUsed/>
    <w:rsid w:val="004F0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87C"/>
    <w:rPr>
      <w:rFonts w:ascii="Segoe UI" w:hAnsi="Segoe UI" w:cs="Segoe UI"/>
      <w:sz w:val="18"/>
      <w:szCs w:val="18"/>
    </w:rPr>
  </w:style>
  <w:style w:type="paragraph" w:styleId="Subtitle">
    <w:name w:val="Subtitle"/>
    <w:basedOn w:val="Normal"/>
    <w:next w:val="Normal"/>
    <w:link w:val="SubtitleChar"/>
    <w:uiPriority w:val="11"/>
    <w:qFormat/>
    <w:rsid w:val="00086B5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086B58"/>
    <w:rPr>
      <w:rFonts w:asciiTheme="majorHAnsi" w:eastAsiaTheme="majorEastAsia" w:hAnsiTheme="majorHAnsi" w:cstheme="majorBidi"/>
      <w:color w:val="404040" w:themeColor="text1" w:themeTint="BF"/>
      <w:sz w:val="30"/>
      <w:szCs w:val="30"/>
    </w:rPr>
  </w:style>
  <w:style w:type="character" w:styleId="Hyperlink">
    <w:name w:val="Hyperlink"/>
    <w:basedOn w:val="DefaultParagraphFont"/>
    <w:uiPriority w:val="99"/>
    <w:unhideWhenUsed/>
    <w:rsid w:val="00BF47AE"/>
    <w:rPr>
      <w:color w:val="0563C1"/>
      <w:u w:val="single"/>
    </w:rPr>
  </w:style>
  <w:style w:type="character" w:styleId="FollowedHyperlink">
    <w:name w:val="FollowedHyperlink"/>
    <w:basedOn w:val="DefaultParagraphFont"/>
    <w:uiPriority w:val="99"/>
    <w:semiHidden/>
    <w:unhideWhenUsed/>
    <w:rsid w:val="00F00F8C"/>
    <w:rPr>
      <w:color w:val="919191" w:themeColor="followedHyperlink"/>
      <w:u w:val="single"/>
    </w:rPr>
  </w:style>
  <w:style w:type="character" w:styleId="UnresolvedMention">
    <w:name w:val="Unresolved Mention"/>
    <w:basedOn w:val="DefaultParagraphFont"/>
    <w:uiPriority w:val="99"/>
    <w:semiHidden/>
    <w:unhideWhenUsed/>
    <w:rsid w:val="00A315A8"/>
    <w:rPr>
      <w:color w:val="605E5C"/>
      <w:shd w:val="clear" w:color="auto" w:fill="E1DFDD"/>
    </w:rPr>
  </w:style>
  <w:style w:type="paragraph" w:styleId="Header">
    <w:name w:val="header"/>
    <w:basedOn w:val="Normal"/>
    <w:link w:val="HeaderChar"/>
    <w:uiPriority w:val="99"/>
    <w:unhideWhenUsed/>
    <w:rsid w:val="00086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B58"/>
  </w:style>
  <w:style w:type="paragraph" w:styleId="Footer">
    <w:name w:val="footer"/>
    <w:basedOn w:val="Normal"/>
    <w:link w:val="FooterChar"/>
    <w:uiPriority w:val="99"/>
    <w:unhideWhenUsed/>
    <w:rsid w:val="00086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B58"/>
  </w:style>
  <w:style w:type="character" w:customStyle="1" w:styleId="Heading3Char">
    <w:name w:val="Heading 3 Char"/>
    <w:basedOn w:val="DefaultParagraphFont"/>
    <w:link w:val="Heading3"/>
    <w:uiPriority w:val="9"/>
    <w:semiHidden/>
    <w:rsid w:val="00086B58"/>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086B58"/>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086B58"/>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086B58"/>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086B58"/>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086B58"/>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086B58"/>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086B58"/>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086B58"/>
    <w:pPr>
      <w:spacing w:after="0" w:line="240" w:lineRule="auto"/>
      <w:contextualSpacing/>
    </w:pPr>
    <w:rPr>
      <w:rFonts w:asciiTheme="majorHAnsi" w:eastAsiaTheme="majorEastAsia" w:hAnsiTheme="majorHAnsi" w:cstheme="majorBidi"/>
      <w:color w:val="707070" w:themeColor="accent1" w:themeShade="BF"/>
      <w:spacing w:val="-7"/>
      <w:sz w:val="80"/>
      <w:szCs w:val="80"/>
    </w:rPr>
  </w:style>
  <w:style w:type="character" w:customStyle="1" w:styleId="TitleChar">
    <w:name w:val="Title Char"/>
    <w:basedOn w:val="DefaultParagraphFont"/>
    <w:link w:val="Title"/>
    <w:uiPriority w:val="10"/>
    <w:rsid w:val="00086B58"/>
    <w:rPr>
      <w:rFonts w:asciiTheme="majorHAnsi" w:eastAsiaTheme="majorEastAsia" w:hAnsiTheme="majorHAnsi" w:cstheme="majorBidi"/>
      <w:color w:val="707070" w:themeColor="accent1" w:themeShade="BF"/>
      <w:spacing w:val="-7"/>
      <w:sz w:val="80"/>
      <w:szCs w:val="80"/>
    </w:rPr>
  </w:style>
  <w:style w:type="character" w:styleId="Strong">
    <w:name w:val="Strong"/>
    <w:basedOn w:val="DefaultParagraphFont"/>
    <w:uiPriority w:val="22"/>
    <w:qFormat/>
    <w:rsid w:val="00086B58"/>
    <w:rPr>
      <w:b/>
      <w:bCs/>
    </w:rPr>
  </w:style>
  <w:style w:type="character" w:styleId="Emphasis">
    <w:name w:val="Emphasis"/>
    <w:basedOn w:val="DefaultParagraphFont"/>
    <w:uiPriority w:val="20"/>
    <w:qFormat/>
    <w:rsid w:val="00086B58"/>
    <w:rPr>
      <w:i/>
      <w:iCs/>
    </w:rPr>
  </w:style>
  <w:style w:type="paragraph" w:styleId="NoSpacing">
    <w:name w:val="No Spacing"/>
    <w:uiPriority w:val="1"/>
    <w:qFormat/>
    <w:rsid w:val="00086B58"/>
    <w:pPr>
      <w:spacing w:after="0" w:line="240" w:lineRule="auto"/>
    </w:pPr>
  </w:style>
  <w:style w:type="paragraph" w:styleId="Quote">
    <w:name w:val="Quote"/>
    <w:basedOn w:val="Normal"/>
    <w:next w:val="Normal"/>
    <w:link w:val="QuoteChar"/>
    <w:uiPriority w:val="29"/>
    <w:qFormat/>
    <w:rsid w:val="00086B58"/>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086B58"/>
    <w:rPr>
      <w:i/>
      <w:iCs/>
    </w:rPr>
  </w:style>
  <w:style w:type="paragraph" w:styleId="IntenseQuote">
    <w:name w:val="Intense Quote"/>
    <w:basedOn w:val="Normal"/>
    <w:next w:val="Normal"/>
    <w:link w:val="IntenseQuoteChar"/>
    <w:uiPriority w:val="30"/>
    <w:qFormat/>
    <w:rsid w:val="00086B58"/>
    <w:pPr>
      <w:spacing w:before="100" w:beforeAutospacing="1" w:after="240"/>
      <w:ind w:left="864" w:right="864"/>
      <w:jc w:val="center"/>
    </w:pPr>
    <w:rPr>
      <w:rFonts w:asciiTheme="majorHAnsi" w:eastAsiaTheme="majorEastAsia" w:hAnsiTheme="majorHAnsi" w:cstheme="majorBidi"/>
      <w:color w:val="969696" w:themeColor="accent1"/>
      <w:sz w:val="28"/>
      <w:szCs w:val="28"/>
    </w:rPr>
  </w:style>
  <w:style w:type="character" w:customStyle="1" w:styleId="IntenseQuoteChar">
    <w:name w:val="Intense Quote Char"/>
    <w:basedOn w:val="DefaultParagraphFont"/>
    <w:link w:val="IntenseQuote"/>
    <w:uiPriority w:val="30"/>
    <w:rsid w:val="00086B58"/>
    <w:rPr>
      <w:rFonts w:asciiTheme="majorHAnsi" w:eastAsiaTheme="majorEastAsia" w:hAnsiTheme="majorHAnsi" w:cstheme="majorBidi"/>
      <w:color w:val="969696" w:themeColor="accent1"/>
      <w:sz w:val="28"/>
      <w:szCs w:val="28"/>
    </w:rPr>
  </w:style>
  <w:style w:type="character" w:styleId="SubtleEmphasis">
    <w:name w:val="Subtle Emphasis"/>
    <w:basedOn w:val="DefaultParagraphFont"/>
    <w:uiPriority w:val="19"/>
    <w:qFormat/>
    <w:rsid w:val="00086B58"/>
    <w:rPr>
      <w:i/>
      <w:iCs/>
      <w:color w:val="595959" w:themeColor="text1" w:themeTint="A6"/>
    </w:rPr>
  </w:style>
  <w:style w:type="character" w:styleId="IntenseEmphasis">
    <w:name w:val="Intense Emphasis"/>
    <w:basedOn w:val="DefaultParagraphFont"/>
    <w:uiPriority w:val="21"/>
    <w:qFormat/>
    <w:rsid w:val="00086B58"/>
    <w:rPr>
      <w:b/>
      <w:bCs/>
      <w:i/>
      <w:iCs/>
    </w:rPr>
  </w:style>
  <w:style w:type="character" w:styleId="SubtleReference">
    <w:name w:val="Subtle Reference"/>
    <w:basedOn w:val="DefaultParagraphFont"/>
    <w:uiPriority w:val="31"/>
    <w:qFormat/>
    <w:rsid w:val="00086B58"/>
    <w:rPr>
      <w:smallCaps/>
      <w:color w:val="404040" w:themeColor="text1" w:themeTint="BF"/>
    </w:rPr>
  </w:style>
  <w:style w:type="character" w:styleId="IntenseReference">
    <w:name w:val="Intense Reference"/>
    <w:basedOn w:val="DefaultParagraphFont"/>
    <w:uiPriority w:val="32"/>
    <w:qFormat/>
    <w:rsid w:val="00086B58"/>
    <w:rPr>
      <w:b/>
      <w:bCs/>
      <w:smallCaps/>
      <w:u w:val="single"/>
    </w:rPr>
  </w:style>
  <w:style w:type="character" w:styleId="BookTitle">
    <w:name w:val="Book Title"/>
    <w:basedOn w:val="DefaultParagraphFont"/>
    <w:uiPriority w:val="33"/>
    <w:qFormat/>
    <w:rsid w:val="00086B58"/>
    <w:rPr>
      <w:b/>
      <w:bCs/>
      <w:smallCaps/>
    </w:rPr>
  </w:style>
  <w:style w:type="paragraph" w:styleId="TOCHeading">
    <w:name w:val="TOC Heading"/>
    <w:basedOn w:val="Heading1"/>
    <w:next w:val="Normal"/>
    <w:uiPriority w:val="39"/>
    <w:semiHidden/>
    <w:unhideWhenUsed/>
    <w:qFormat/>
    <w:rsid w:val="00086B5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83921">
      <w:bodyDiv w:val="1"/>
      <w:marLeft w:val="0"/>
      <w:marRight w:val="0"/>
      <w:marTop w:val="0"/>
      <w:marBottom w:val="0"/>
      <w:divBdr>
        <w:top w:val="none" w:sz="0" w:space="0" w:color="auto"/>
        <w:left w:val="none" w:sz="0" w:space="0" w:color="auto"/>
        <w:bottom w:val="none" w:sz="0" w:space="0" w:color="auto"/>
        <w:right w:val="none" w:sz="0" w:space="0" w:color="auto"/>
      </w:divBdr>
    </w:div>
    <w:div w:id="32736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srfharmony.org/wp-content/uploads/2017/10/realms_concern_influence_0.pdf" TargetMode="External"/><Relationship Id="rId18" Type="http://schemas.openxmlformats.org/officeDocument/2006/relationships/hyperlink" Target="https://www.nsrfharmony.org/wp-content/uploads/2017/10/data_driven_dialogue_0.pdf" TargetMode="External"/><Relationship Id="rId26" Type="http://schemas.openxmlformats.org/officeDocument/2006/relationships/hyperlink" Target="https://www.nsrfharmony.org/wp-content/uploads/2017/10/understanding_analysis_0.pdf" TargetMode="External"/><Relationship Id="rId3" Type="http://schemas.openxmlformats.org/officeDocument/2006/relationships/customXml" Target="../customXml/item3.xml"/><Relationship Id="rId21" Type="http://schemas.openxmlformats.org/officeDocument/2006/relationships/hyperlink" Target="https://nsrfharmony.org/wp-content/uploads/2017/10/tuning_plan_0.pdf" TargetMode="External"/><Relationship Id="rId34" Type="http://schemas.openxmlformats.org/officeDocument/2006/relationships/hyperlink" Target="https://bellwethereducation.org/publication/essential-questions-2020-2021-reopening-planning-workbook-education-leaders" TargetMode="External"/><Relationship Id="rId7" Type="http://schemas.openxmlformats.org/officeDocument/2006/relationships/settings" Target="settings.xml"/><Relationship Id="rId12" Type="http://schemas.openxmlformats.org/officeDocument/2006/relationships/hyperlink" Target="https://www.nsrfharmony.org/wp-content/uploads/2017/10/future.pdf" TargetMode="External"/><Relationship Id="rId17" Type="http://schemas.openxmlformats.org/officeDocument/2006/relationships/hyperlink" Target="https://www.nsrfharmony.org/wp-content/uploads/2017/10/success_ana_admin_teams_0.pdf" TargetMode="External"/><Relationship Id="rId25" Type="http://schemas.openxmlformats.org/officeDocument/2006/relationships/hyperlink" Target="https://www.nsrfharmony.org/wp-content/uploads/2017/10/charrette_0.pdf" TargetMode="External"/><Relationship Id="rId33" Type="http://schemas.openxmlformats.org/officeDocument/2006/relationships/hyperlink" Target="http://www.bscpcenter.org/communications/assets/communications-assessment-rubric_compliant.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hoolreforminitiative.org/doc/barriers_bridges.pdf" TargetMode="External"/><Relationship Id="rId20" Type="http://schemas.openxmlformats.org/officeDocument/2006/relationships/hyperlink" Target="https://www.schoolreforminitiative.org/download/looking-at-data-sets-a-collaborative-inquiry-and-problem-solving-protocol/" TargetMode="External"/><Relationship Id="rId29" Type="http://schemas.openxmlformats.org/officeDocument/2006/relationships/hyperlink" Target="https://ohiofamiliesengage.osu.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nsrfharmony.org/wp-content/uploads/2017/10/consultancy_0.pdf" TargetMode="External"/><Relationship Id="rId32" Type="http://schemas.openxmlformats.org/officeDocument/2006/relationships/hyperlink" Target="https://flamboyanfoundation.org/resource/school-wide-family-engagement-rubric/"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srfharmony.org/wp-content/uploads/2017/10/multiple_perspectives_0.pdf" TargetMode="External"/><Relationship Id="rId23" Type="http://schemas.openxmlformats.org/officeDocument/2006/relationships/hyperlink" Target="https://www.nsrfharmony.org/wp-content/uploads/2017/10/equity_protocol.pdf" TargetMode="External"/><Relationship Id="rId28" Type="http://schemas.openxmlformats.org/officeDocument/2006/relationships/hyperlink" Target="https://pz.harvard.edu/sites/default/files/I%20Used%20to%20Think%20-%20Now%20I%20Think_1.pdf" TargetMode="External"/><Relationship Id="rId36" Type="http://schemas.openxmlformats.org/officeDocument/2006/relationships/hyperlink" Target="https://ohiofamiliesengage.osu.edu" TargetMode="External"/><Relationship Id="rId10" Type="http://schemas.openxmlformats.org/officeDocument/2006/relationships/endnotes" Target="endnotes.xml"/><Relationship Id="rId19" Type="http://schemas.openxmlformats.org/officeDocument/2006/relationships/hyperlink" Target="https://www.schoolreforminitiative.org/download/data-mining-protocol/" TargetMode="External"/><Relationship Id="rId31" Type="http://schemas.openxmlformats.org/officeDocument/2006/relationships/hyperlink" Target="https://eleducation.org/resources/type/progress-monitoring-too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srfharmony.org/wp-content/uploads/2017/10/ping_pong.pdf" TargetMode="External"/><Relationship Id="rId22" Type="http://schemas.openxmlformats.org/officeDocument/2006/relationships/hyperlink" Target="https://www.nsrfharmony.org/wp-content/uploads/2017/10/feed_back_carousel.pdf" TargetMode="External"/><Relationship Id="rId27" Type="http://schemas.openxmlformats.org/officeDocument/2006/relationships/hyperlink" Target="https://www.schoolreforminitiative.org/download/talking-stick-ceremony/" TargetMode="External"/><Relationship Id="rId30" Type="http://schemas.openxmlformats.org/officeDocument/2006/relationships/hyperlink" Target="https://ohiofamiliesengage.osu.edu" TargetMode="External"/><Relationship Id="rId35"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969696"/>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EFB7A0301D0D47AC1265C617BE30F7" ma:contentTypeVersion="13" ma:contentTypeDescription="Create a new document." ma:contentTypeScope="" ma:versionID="019f11482ad925cce8c9ccf7656d01ec">
  <xsd:schema xmlns:xsd="http://www.w3.org/2001/XMLSchema" xmlns:xs="http://www.w3.org/2001/XMLSchema" xmlns:p="http://schemas.microsoft.com/office/2006/metadata/properties" xmlns:ns2="950fc2d3-a4da-4833-807e-532a7c27032f" xmlns:ns3="896ac175-3b42-43cd-8614-4f2313477989" targetNamespace="http://schemas.microsoft.com/office/2006/metadata/properties" ma:root="true" ma:fieldsID="222ae769b4a76a7536304ce69a3c623a" ns2:_="" ns3:_="">
    <xsd:import namespace="950fc2d3-a4da-4833-807e-532a7c27032f"/>
    <xsd:import namespace="896ac175-3b42-43cd-8614-4f23134779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fc2d3-a4da-4833-807e-532a7c270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6ac175-3b42-43cd-8614-4f23134779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EFF9CE-3651-4FD5-862C-9D71E83DD0C4}">
  <ds:schemaRefs>
    <ds:schemaRef ds:uri="http://schemas.openxmlformats.org/officeDocument/2006/bibliography"/>
  </ds:schemaRefs>
</ds:datastoreItem>
</file>

<file path=customXml/itemProps2.xml><?xml version="1.0" encoding="utf-8"?>
<ds:datastoreItem xmlns:ds="http://schemas.openxmlformats.org/officeDocument/2006/customXml" ds:itemID="{1D43B4B8-3CFF-4F2D-8E7A-5E5F9A5D96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50984B-FEAC-4598-B345-9970F805112A}">
  <ds:schemaRefs>
    <ds:schemaRef ds:uri="http://schemas.microsoft.com/sharepoint/v3/contenttype/forms"/>
  </ds:schemaRefs>
</ds:datastoreItem>
</file>

<file path=customXml/itemProps4.xml><?xml version="1.0" encoding="utf-8"?>
<ds:datastoreItem xmlns:ds="http://schemas.openxmlformats.org/officeDocument/2006/customXml" ds:itemID="{1A94BAA5-CCC0-4F7F-ADFC-4F274FFF3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fc2d3-a4da-4833-807e-532a7c27032f"/>
    <ds:schemaRef ds:uri="896ac175-3b42-43cd-8614-4f2313477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2650</Words>
  <Characters>15106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Capretta, Thomas J.</dc:creator>
  <cp:keywords/>
  <dc:description/>
  <cp:lastModifiedBy>Wellman, Meredith</cp:lastModifiedBy>
  <cp:revision>2</cp:revision>
  <dcterms:created xsi:type="dcterms:W3CDTF">2021-06-01T14:41:00Z</dcterms:created>
  <dcterms:modified xsi:type="dcterms:W3CDTF">2021-06-01T14:41:00Z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0x010100B8EFB7A0301D0D47AC1265C617BE30F7</vt:lpwstr>
  </property>
</Properties>
</file>